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336EB" w14:textId="76F14C89" w:rsidR="009C1068" w:rsidRPr="009E4D5F" w:rsidRDefault="00A618EE" w:rsidP="00A618EE">
      <w:pPr>
        <w:widowControl w:val="0"/>
        <w:autoSpaceDE w:val="0"/>
        <w:autoSpaceDN w:val="0"/>
        <w:adjustRightInd w:val="0"/>
        <w:ind w:left="3544"/>
        <w:jc w:val="both"/>
        <w:rPr>
          <w:rFonts w:ascii="Verdana" w:hAnsi="Verdana" w:cs="Arial"/>
          <w:b/>
          <w:bCs/>
          <w:sz w:val="23"/>
          <w:szCs w:val="23"/>
        </w:rPr>
      </w:pPr>
      <w:r w:rsidRPr="009E4D5F">
        <w:rPr>
          <w:rFonts w:ascii="Verdana" w:hAnsi="Verdana" w:cs="Arial"/>
          <w:b/>
          <w:bCs/>
          <w:sz w:val="23"/>
          <w:szCs w:val="23"/>
        </w:rPr>
        <w:t>RECURSO DE APELACIÓN</w:t>
      </w:r>
    </w:p>
    <w:p w14:paraId="607E96A2" w14:textId="1F223EDD" w:rsidR="009C1068" w:rsidRPr="009E4D5F" w:rsidRDefault="00A618EE" w:rsidP="00A618EE">
      <w:pPr>
        <w:widowControl w:val="0"/>
        <w:autoSpaceDE w:val="0"/>
        <w:autoSpaceDN w:val="0"/>
        <w:adjustRightInd w:val="0"/>
        <w:ind w:left="3544"/>
        <w:jc w:val="both"/>
        <w:rPr>
          <w:rFonts w:ascii="Verdana" w:hAnsi="Verdana" w:cs="Arial"/>
          <w:sz w:val="23"/>
          <w:szCs w:val="23"/>
        </w:rPr>
      </w:pPr>
      <w:r w:rsidRPr="009E4D5F">
        <w:rPr>
          <w:rFonts w:ascii="Verdana" w:hAnsi="Verdana" w:cs="Arial"/>
          <w:b/>
          <w:sz w:val="23"/>
          <w:szCs w:val="23"/>
        </w:rPr>
        <w:t xml:space="preserve">EXPEDIENTE: </w:t>
      </w:r>
      <w:r w:rsidRPr="009E4D5F">
        <w:rPr>
          <w:rFonts w:ascii="Verdana" w:eastAsia="Arial" w:hAnsi="Verdana" w:cs="Arial"/>
          <w:sz w:val="23"/>
          <w:szCs w:val="23"/>
        </w:rPr>
        <w:t>TEEA-RAP-007/2023.</w:t>
      </w:r>
    </w:p>
    <w:p w14:paraId="1B2FA0E7" w14:textId="61B554A2" w:rsidR="00CA54D4" w:rsidRPr="009E4D5F" w:rsidRDefault="00A618EE" w:rsidP="00A618EE">
      <w:pPr>
        <w:widowControl w:val="0"/>
        <w:autoSpaceDE w:val="0"/>
        <w:autoSpaceDN w:val="0"/>
        <w:adjustRightInd w:val="0"/>
        <w:ind w:left="3544"/>
        <w:jc w:val="both"/>
        <w:rPr>
          <w:rFonts w:ascii="Verdana" w:eastAsia="Arial" w:hAnsi="Verdana" w:cs="Arial"/>
          <w:bCs/>
          <w:sz w:val="23"/>
          <w:szCs w:val="23"/>
          <w:lang w:val="es-MX"/>
        </w:rPr>
      </w:pPr>
      <w:r w:rsidRPr="009E4D5F">
        <w:rPr>
          <w:rFonts w:ascii="Verdana" w:hAnsi="Verdana" w:cs="Arial"/>
          <w:b/>
          <w:bCs/>
          <w:sz w:val="23"/>
          <w:szCs w:val="23"/>
          <w:lang w:val="es-ES_tradnl"/>
        </w:rPr>
        <w:t>PARTE RECURRENTE:</w:t>
      </w:r>
      <w:r w:rsidRPr="009E4D5F">
        <w:rPr>
          <w:rFonts w:ascii="Verdana" w:hAnsi="Verdana"/>
          <w:sz w:val="23"/>
          <w:szCs w:val="23"/>
        </w:rPr>
        <w:t xml:space="preserve"> </w:t>
      </w:r>
      <w:r w:rsidRPr="009E4D5F">
        <w:rPr>
          <w:rFonts w:ascii="Verdana" w:eastAsia="Arial" w:hAnsi="Verdana" w:cs="Arial"/>
          <w:bCs/>
          <w:sz w:val="23"/>
          <w:szCs w:val="23"/>
          <w:lang w:val="es-MX"/>
        </w:rPr>
        <w:t>PARTIDO POLÍTICO MOVIMIENTO CIUDADANO, POR CONDUCTO DE SU REPRESENTACIÓN ANTE EL CONSEJO GENERAL DEL INSTITUTO ESTATAL ELECTORAL DE AGUASCALIENTES.</w:t>
      </w:r>
    </w:p>
    <w:p w14:paraId="1DB95023" w14:textId="43F0474A" w:rsidR="009C1068" w:rsidRPr="009E4D5F" w:rsidRDefault="00A618EE" w:rsidP="00A618EE">
      <w:pPr>
        <w:widowControl w:val="0"/>
        <w:autoSpaceDE w:val="0"/>
        <w:autoSpaceDN w:val="0"/>
        <w:adjustRightInd w:val="0"/>
        <w:ind w:left="3544"/>
        <w:jc w:val="both"/>
        <w:rPr>
          <w:rFonts w:ascii="Verdana" w:eastAsia="Arial" w:hAnsi="Verdana" w:cs="Arial"/>
          <w:sz w:val="23"/>
          <w:szCs w:val="23"/>
        </w:rPr>
      </w:pPr>
      <w:r w:rsidRPr="009E4D5F">
        <w:rPr>
          <w:rFonts w:ascii="Verdana" w:hAnsi="Verdana" w:cs="Arial"/>
          <w:b/>
          <w:bCs/>
          <w:sz w:val="23"/>
          <w:szCs w:val="23"/>
          <w:lang w:val="es-ES_tradnl"/>
        </w:rPr>
        <w:t>AUTORIDAD RESPONSABLE:</w:t>
      </w:r>
      <w:r w:rsidRPr="009E4D5F">
        <w:rPr>
          <w:rFonts w:ascii="Verdana" w:hAnsi="Verdana" w:cs="Arial"/>
          <w:sz w:val="23"/>
          <w:szCs w:val="23"/>
          <w:lang w:val="es-ES_tradnl"/>
        </w:rPr>
        <w:t xml:space="preserve"> </w:t>
      </w:r>
      <w:r w:rsidRPr="009E4D5F">
        <w:rPr>
          <w:rFonts w:ascii="Verdana" w:eastAsia="Arial" w:hAnsi="Verdana" w:cs="Arial"/>
          <w:bCs/>
          <w:sz w:val="23"/>
          <w:szCs w:val="23"/>
        </w:rPr>
        <w:t>CONSEJO GENERAL DEL INSTITUTO ESTATAL ELECTORAL DE AGUASCALIENTES</w:t>
      </w:r>
      <w:r w:rsidRPr="009E4D5F">
        <w:rPr>
          <w:rFonts w:ascii="Verdana" w:eastAsia="Arial" w:hAnsi="Verdana" w:cs="Arial"/>
          <w:sz w:val="23"/>
          <w:szCs w:val="23"/>
        </w:rPr>
        <w:t>.</w:t>
      </w:r>
    </w:p>
    <w:p w14:paraId="69441538" w14:textId="696539BE" w:rsidR="009C1068" w:rsidRPr="009E4D5F" w:rsidRDefault="00A618EE" w:rsidP="00A618EE">
      <w:pPr>
        <w:widowControl w:val="0"/>
        <w:autoSpaceDE w:val="0"/>
        <w:autoSpaceDN w:val="0"/>
        <w:adjustRightInd w:val="0"/>
        <w:ind w:left="3544"/>
        <w:jc w:val="both"/>
        <w:rPr>
          <w:rFonts w:ascii="Verdana" w:hAnsi="Verdana" w:cs="Tahoma"/>
          <w:sz w:val="23"/>
          <w:szCs w:val="23"/>
          <w:lang w:val="es-MX"/>
        </w:rPr>
      </w:pPr>
      <w:r w:rsidRPr="009E4D5F">
        <w:rPr>
          <w:rFonts w:ascii="Verdana" w:hAnsi="Verdana" w:cs="Tahoma"/>
          <w:b/>
          <w:bCs/>
          <w:sz w:val="23"/>
          <w:szCs w:val="23"/>
          <w:lang w:val="es-ES_tradnl"/>
        </w:rPr>
        <w:t>MAGISTRATURA PONENTE</w:t>
      </w:r>
      <w:r w:rsidRPr="009E4D5F">
        <w:rPr>
          <w:rFonts w:ascii="Verdana" w:hAnsi="Verdana" w:cs="Tahoma"/>
          <w:bCs/>
          <w:sz w:val="23"/>
          <w:szCs w:val="23"/>
          <w:lang w:val="es-ES_tradnl"/>
        </w:rPr>
        <w:t>:</w:t>
      </w:r>
      <w:r w:rsidRPr="009E4D5F">
        <w:rPr>
          <w:rFonts w:ascii="Verdana" w:hAnsi="Verdana" w:cs="Tahoma"/>
          <w:b/>
          <w:bCs/>
          <w:sz w:val="23"/>
          <w:szCs w:val="23"/>
          <w:lang w:val="es-ES_tradnl"/>
        </w:rPr>
        <w:t xml:space="preserve"> </w:t>
      </w:r>
      <w:r w:rsidRPr="009E4D5F">
        <w:rPr>
          <w:rFonts w:ascii="Verdana" w:hAnsi="Verdana" w:cs="Tahoma"/>
          <w:sz w:val="23"/>
          <w:szCs w:val="23"/>
          <w:lang w:val="es-MX"/>
        </w:rPr>
        <w:t>HÉCTOR SALVADOR HERNÁNDEZ GALLEGOS.</w:t>
      </w:r>
    </w:p>
    <w:p w14:paraId="33448293" w14:textId="4BC1015C" w:rsidR="009C1068" w:rsidRPr="009E4D5F" w:rsidRDefault="00A618EE" w:rsidP="00A618EE">
      <w:pPr>
        <w:widowControl w:val="0"/>
        <w:autoSpaceDE w:val="0"/>
        <w:autoSpaceDN w:val="0"/>
        <w:adjustRightInd w:val="0"/>
        <w:ind w:left="3544"/>
        <w:jc w:val="both"/>
        <w:rPr>
          <w:rFonts w:ascii="Verdana" w:hAnsi="Verdana" w:cs="Tahoma"/>
          <w:sz w:val="23"/>
          <w:szCs w:val="23"/>
        </w:rPr>
      </w:pPr>
      <w:r w:rsidRPr="009E4D5F">
        <w:rPr>
          <w:rFonts w:ascii="Verdana" w:hAnsi="Verdana" w:cs="Tahoma"/>
          <w:b/>
          <w:bCs/>
          <w:sz w:val="23"/>
          <w:szCs w:val="23"/>
        </w:rPr>
        <w:t xml:space="preserve">SECRETARIADO DE ESTUDIO: </w:t>
      </w:r>
      <w:r w:rsidRPr="009E4D5F">
        <w:rPr>
          <w:rFonts w:ascii="Verdana" w:hAnsi="Verdana" w:cs="Tahoma"/>
          <w:sz w:val="23"/>
          <w:szCs w:val="23"/>
        </w:rPr>
        <w:t xml:space="preserve">JOEL VALENTÍN JIMÉNEZ ALMANZA. </w:t>
      </w:r>
    </w:p>
    <w:p w14:paraId="1A5BF888" w14:textId="5BC4A1EB" w:rsidR="00C60E4E" w:rsidRPr="009E4D5F" w:rsidRDefault="00A618EE" w:rsidP="00A618EE">
      <w:pPr>
        <w:widowControl w:val="0"/>
        <w:autoSpaceDE w:val="0"/>
        <w:autoSpaceDN w:val="0"/>
        <w:adjustRightInd w:val="0"/>
        <w:ind w:left="3544"/>
        <w:jc w:val="both"/>
        <w:rPr>
          <w:rFonts w:ascii="Verdana" w:hAnsi="Verdana" w:cs="Tahoma"/>
          <w:sz w:val="23"/>
          <w:szCs w:val="23"/>
        </w:rPr>
      </w:pPr>
      <w:r w:rsidRPr="009E4D5F">
        <w:rPr>
          <w:rFonts w:ascii="Verdana" w:hAnsi="Verdana" w:cs="Tahoma"/>
          <w:b/>
          <w:bCs/>
          <w:sz w:val="23"/>
          <w:szCs w:val="23"/>
        </w:rPr>
        <w:t>SECRETARIADO JURÍDICO:</w:t>
      </w:r>
      <w:r w:rsidRPr="009E4D5F">
        <w:rPr>
          <w:rFonts w:ascii="Verdana" w:hAnsi="Verdana" w:cs="Tahoma"/>
          <w:sz w:val="23"/>
          <w:szCs w:val="23"/>
        </w:rPr>
        <w:t xml:space="preserve"> VANESSA SOTO MACÍAS.</w:t>
      </w:r>
    </w:p>
    <w:p w14:paraId="21849914" w14:textId="6D70669F" w:rsidR="00CF66A9" w:rsidRPr="009E4D5F" w:rsidRDefault="00CF66A9" w:rsidP="00A618EE">
      <w:pPr>
        <w:widowControl w:val="0"/>
        <w:autoSpaceDE w:val="0"/>
        <w:autoSpaceDN w:val="0"/>
        <w:adjustRightInd w:val="0"/>
        <w:ind w:left="3544"/>
        <w:jc w:val="both"/>
        <w:rPr>
          <w:rFonts w:ascii="Verdana" w:hAnsi="Verdana" w:cs="Tahoma"/>
          <w:sz w:val="23"/>
          <w:szCs w:val="23"/>
        </w:rPr>
      </w:pPr>
    </w:p>
    <w:p w14:paraId="0C1DCBF0" w14:textId="77777777" w:rsidR="00434828" w:rsidRPr="009E4D5F" w:rsidRDefault="00434828" w:rsidP="00A618EE">
      <w:pPr>
        <w:widowControl w:val="0"/>
        <w:autoSpaceDE w:val="0"/>
        <w:autoSpaceDN w:val="0"/>
        <w:adjustRightInd w:val="0"/>
        <w:ind w:left="3544"/>
        <w:jc w:val="both"/>
        <w:rPr>
          <w:rFonts w:ascii="Verdana" w:hAnsi="Verdana" w:cs="Tahoma"/>
          <w:sz w:val="23"/>
          <w:szCs w:val="23"/>
        </w:rPr>
      </w:pPr>
    </w:p>
    <w:p w14:paraId="77F45F4B" w14:textId="7F6FA867" w:rsidR="009C1068" w:rsidRPr="009E4D5F" w:rsidRDefault="009C1068" w:rsidP="00A618EE">
      <w:pPr>
        <w:spacing w:before="100" w:beforeAutospacing="1" w:after="100" w:afterAutospacing="1" w:line="360" w:lineRule="auto"/>
        <w:jc w:val="both"/>
        <w:rPr>
          <w:rFonts w:ascii="Verdana" w:hAnsi="Verdana"/>
          <w:b/>
          <w:sz w:val="23"/>
          <w:szCs w:val="23"/>
        </w:rPr>
      </w:pPr>
      <w:r w:rsidRPr="009E4D5F">
        <w:rPr>
          <w:rFonts w:ascii="Verdana" w:hAnsi="Verdana"/>
          <w:b/>
          <w:sz w:val="23"/>
          <w:szCs w:val="23"/>
        </w:rPr>
        <w:t xml:space="preserve">Aguascalientes, Aguascalientes, a </w:t>
      </w:r>
      <w:r w:rsidR="00496085">
        <w:rPr>
          <w:rFonts w:ascii="Verdana" w:hAnsi="Verdana"/>
          <w:b/>
          <w:sz w:val="23"/>
          <w:szCs w:val="23"/>
        </w:rPr>
        <w:t xml:space="preserve">treinta </w:t>
      </w:r>
      <w:r w:rsidRPr="009E4D5F">
        <w:rPr>
          <w:rFonts w:ascii="Verdana" w:hAnsi="Verdana"/>
          <w:b/>
          <w:sz w:val="23"/>
          <w:szCs w:val="23"/>
        </w:rPr>
        <w:t xml:space="preserve">de </w:t>
      </w:r>
      <w:r w:rsidR="00C60E4E" w:rsidRPr="009E4D5F">
        <w:rPr>
          <w:rFonts w:ascii="Verdana" w:hAnsi="Verdana"/>
          <w:b/>
          <w:sz w:val="23"/>
          <w:szCs w:val="23"/>
        </w:rPr>
        <w:t>marzo</w:t>
      </w:r>
      <w:r w:rsidRPr="009E4D5F">
        <w:rPr>
          <w:rFonts w:ascii="Verdana" w:hAnsi="Verdana"/>
          <w:b/>
          <w:sz w:val="23"/>
          <w:szCs w:val="23"/>
        </w:rPr>
        <w:t xml:space="preserve"> de dos mil veintitrés.</w:t>
      </w:r>
    </w:p>
    <w:p w14:paraId="74F8C47E" w14:textId="4C366F3E" w:rsidR="009C1068" w:rsidRPr="009E4D5F" w:rsidRDefault="009C1068" w:rsidP="00A618EE">
      <w:pPr>
        <w:spacing w:before="100" w:beforeAutospacing="1" w:after="100" w:afterAutospacing="1" w:line="360" w:lineRule="auto"/>
        <w:jc w:val="both"/>
        <w:rPr>
          <w:rFonts w:ascii="Verdana" w:hAnsi="Verdana"/>
          <w:bCs/>
          <w:sz w:val="23"/>
          <w:szCs w:val="23"/>
        </w:rPr>
      </w:pPr>
      <w:r w:rsidRPr="009E4D5F">
        <w:rPr>
          <w:rFonts w:ascii="Verdana" w:hAnsi="Verdana"/>
          <w:b/>
          <w:sz w:val="23"/>
          <w:szCs w:val="23"/>
        </w:rPr>
        <w:t>Sentencia</w:t>
      </w:r>
      <w:r w:rsidRPr="009E4D5F">
        <w:rPr>
          <w:rFonts w:ascii="Verdana" w:hAnsi="Verdana"/>
          <w:bCs/>
          <w:sz w:val="23"/>
          <w:szCs w:val="23"/>
        </w:rPr>
        <w:t xml:space="preserve"> que </w:t>
      </w:r>
      <w:r w:rsidR="00C60E4E" w:rsidRPr="009E4D5F">
        <w:rPr>
          <w:rFonts w:ascii="Verdana" w:hAnsi="Verdana"/>
          <w:b/>
          <w:sz w:val="23"/>
          <w:szCs w:val="23"/>
        </w:rPr>
        <w:t>DESECHA</w:t>
      </w:r>
      <w:r w:rsidR="0031726F" w:rsidRPr="009E4D5F">
        <w:rPr>
          <w:rFonts w:ascii="Verdana" w:hAnsi="Verdana"/>
          <w:b/>
          <w:sz w:val="23"/>
          <w:szCs w:val="23"/>
        </w:rPr>
        <w:t xml:space="preserve"> DE PLANO</w:t>
      </w:r>
      <w:r w:rsidRPr="009E4D5F">
        <w:rPr>
          <w:rFonts w:ascii="Verdana" w:hAnsi="Verdana"/>
          <w:bCs/>
          <w:sz w:val="23"/>
          <w:szCs w:val="23"/>
        </w:rPr>
        <w:t xml:space="preserve"> </w:t>
      </w:r>
      <w:r w:rsidR="0031726F" w:rsidRPr="009E4D5F">
        <w:rPr>
          <w:rFonts w:ascii="Verdana" w:hAnsi="Verdana"/>
          <w:bCs/>
          <w:sz w:val="23"/>
          <w:szCs w:val="23"/>
        </w:rPr>
        <w:t>la demanda d</w:t>
      </w:r>
      <w:r w:rsidR="002D2AB7" w:rsidRPr="009E4D5F">
        <w:rPr>
          <w:rFonts w:ascii="Verdana" w:hAnsi="Verdana"/>
          <w:bCs/>
          <w:sz w:val="23"/>
          <w:szCs w:val="23"/>
        </w:rPr>
        <w:t xml:space="preserve">el </w:t>
      </w:r>
      <w:r w:rsidR="00F0216E" w:rsidRPr="009E4D5F">
        <w:rPr>
          <w:rFonts w:ascii="Verdana" w:hAnsi="Verdana"/>
          <w:bCs/>
          <w:sz w:val="23"/>
          <w:szCs w:val="23"/>
        </w:rPr>
        <w:t>R</w:t>
      </w:r>
      <w:r w:rsidR="002D2AB7" w:rsidRPr="009E4D5F">
        <w:rPr>
          <w:rFonts w:ascii="Verdana" w:hAnsi="Verdana"/>
          <w:bCs/>
          <w:sz w:val="23"/>
          <w:szCs w:val="23"/>
        </w:rPr>
        <w:t xml:space="preserve">ecurso de </w:t>
      </w:r>
      <w:r w:rsidR="00F0216E" w:rsidRPr="009E4D5F">
        <w:rPr>
          <w:rFonts w:ascii="Verdana" w:hAnsi="Verdana"/>
          <w:bCs/>
          <w:sz w:val="23"/>
          <w:szCs w:val="23"/>
        </w:rPr>
        <w:t>A</w:t>
      </w:r>
      <w:r w:rsidR="002D2AB7" w:rsidRPr="009E4D5F">
        <w:rPr>
          <w:rFonts w:ascii="Verdana" w:hAnsi="Verdana"/>
          <w:bCs/>
          <w:sz w:val="23"/>
          <w:szCs w:val="23"/>
        </w:rPr>
        <w:t xml:space="preserve">pelación interpuesto </w:t>
      </w:r>
      <w:r w:rsidR="00E07659" w:rsidRPr="009E4D5F">
        <w:rPr>
          <w:rFonts w:ascii="Verdana" w:hAnsi="Verdana"/>
          <w:bCs/>
          <w:sz w:val="23"/>
          <w:szCs w:val="23"/>
        </w:rPr>
        <w:t xml:space="preserve">por </w:t>
      </w:r>
      <w:r w:rsidR="00E649C1" w:rsidRPr="009E4D5F">
        <w:rPr>
          <w:rFonts w:ascii="Verdana" w:hAnsi="Verdana"/>
          <w:bCs/>
          <w:sz w:val="23"/>
          <w:szCs w:val="23"/>
        </w:rPr>
        <w:t xml:space="preserve">el </w:t>
      </w:r>
      <w:r w:rsidR="00E07659" w:rsidRPr="009E4D5F">
        <w:rPr>
          <w:rFonts w:ascii="Verdana" w:hAnsi="Verdana"/>
          <w:bCs/>
          <w:sz w:val="23"/>
          <w:szCs w:val="23"/>
        </w:rPr>
        <w:t xml:space="preserve">Partido Político </w:t>
      </w:r>
      <w:r w:rsidR="00E07659" w:rsidRPr="009E4D5F">
        <w:rPr>
          <w:rFonts w:ascii="Verdana" w:eastAsia="Arial" w:hAnsi="Verdana" w:cs="Arial"/>
          <w:bCs/>
          <w:sz w:val="23"/>
          <w:szCs w:val="23"/>
          <w:lang w:val="es-MX"/>
        </w:rPr>
        <w:t>Movimiento Ciudadano</w:t>
      </w:r>
      <w:r w:rsidR="0031726F" w:rsidRPr="009E4D5F">
        <w:rPr>
          <w:rFonts w:ascii="Verdana" w:eastAsia="Arial" w:hAnsi="Verdana" w:cs="Arial"/>
          <w:bCs/>
          <w:sz w:val="23"/>
          <w:szCs w:val="23"/>
          <w:lang w:val="es-MX"/>
        </w:rPr>
        <w:t xml:space="preserve"> (</w:t>
      </w:r>
      <w:r w:rsidR="0031726F" w:rsidRPr="009E4D5F">
        <w:rPr>
          <w:rFonts w:ascii="Verdana" w:eastAsia="Arial" w:hAnsi="Verdana" w:cs="Arial"/>
          <w:bCs/>
          <w:smallCaps/>
          <w:sz w:val="23"/>
          <w:szCs w:val="23"/>
          <w:lang w:val="es-MX"/>
        </w:rPr>
        <w:t>P</w:t>
      </w:r>
      <w:r w:rsidR="00D52B20" w:rsidRPr="009E4D5F">
        <w:rPr>
          <w:rFonts w:ascii="Verdana" w:eastAsia="Arial" w:hAnsi="Verdana" w:cs="Arial"/>
          <w:bCs/>
          <w:smallCaps/>
          <w:sz w:val="23"/>
          <w:szCs w:val="23"/>
          <w:lang w:val="es-MX"/>
        </w:rPr>
        <w:t xml:space="preserve">arte </w:t>
      </w:r>
      <w:r w:rsidR="00F0216E" w:rsidRPr="009E4D5F">
        <w:rPr>
          <w:rFonts w:ascii="Verdana" w:eastAsia="Arial" w:hAnsi="Verdana" w:cs="Arial"/>
          <w:bCs/>
          <w:smallCaps/>
          <w:sz w:val="23"/>
          <w:szCs w:val="23"/>
          <w:lang w:val="es-MX"/>
        </w:rPr>
        <w:t>Recurrente</w:t>
      </w:r>
      <w:r w:rsidR="0031726F" w:rsidRPr="009E4D5F">
        <w:rPr>
          <w:rFonts w:ascii="Verdana" w:eastAsia="Arial" w:hAnsi="Verdana" w:cs="Arial"/>
          <w:bCs/>
          <w:sz w:val="23"/>
          <w:szCs w:val="23"/>
          <w:lang w:val="es-MX"/>
        </w:rPr>
        <w:t>)</w:t>
      </w:r>
      <w:r w:rsidR="00E07659" w:rsidRPr="009E4D5F">
        <w:rPr>
          <w:rFonts w:ascii="Verdana" w:eastAsia="Arial" w:hAnsi="Verdana" w:cs="Arial"/>
          <w:bCs/>
          <w:sz w:val="23"/>
          <w:szCs w:val="23"/>
          <w:lang w:val="es-MX"/>
        </w:rPr>
        <w:t>,</w:t>
      </w:r>
      <w:r w:rsidR="002D2AB7" w:rsidRPr="009E4D5F">
        <w:rPr>
          <w:rFonts w:ascii="Verdana" w:hAnsi="Verdana"/>
          <w:bCs/>
          <w:sz w:val="23"/>
          <w:szCs w:val="23"/>
        </w:rPr>
        <w:t xml:space="preserve"> en contra del Acuerdo CG-A-01/23 del Consejo General del Instituto Estatal Electoral</w:t>
      </w:r>
      <w:r w:rsidR="00330AA8" w:rsidRPr="009E4D5F">
        <w:rPr>
          <w:rFonts w:ascii="Verdana" w:hAnsi="Verdana"/>
          <w:bCs/>
          <w:sz w:val="23"/>
          <w:szCs w:val="23"/>
        </w:rPr>
        <w:t xml:space="preserve"> de Aguascalientes (</w:t>
      </w:r>
      <w:r w:rsidR="00330AA8" w:rsidRPr="009E4D5F">
        <w:rPr>
          <w:rFonts w:ascii="Verdana" w:hAnsi="Verdana"/>
          <w:bCs/>
          <w:smallCaps/>
          <w:sz w:val="23"/>
          <w:szCs w:val="23"/>
        </w:rPr>
        <w:t>Autoridad Responsable</w:t>
      </w:r>
      <w:r w:rsidR="00330AA8" w:rsidRPr="009E4D5F">
        <w:rPr>
          <w:rFonts w:ascii="Verdana" w:hAnsi="Verdana"/>
          <w:bCs/>
          <w:sz w:val="23"/>
          <w:szCs w:val="23"/>
        </w:rPr>
        <w:t>)</w:t>
      </w:r>
      <w:r w:rsidR="002D2AB7" w:rsidRPr="009E4D5F">
        <w:rPr>
          <w:rFonts w:ascii="Verdana" w:hAnsi="Verdana"/>
          <w:bCs/>
          <w:sz w:val="23"/>
          <w:szCs w:val="23"/>
        </w:rPr>
        <w:t>, mediante el cual aprueba la distribución del financiamiento público estatal a los partidos políticos, para su gasto ordinario y actividades específicas correspondiente al ejercicio fiscal del año dos mil veintitrés</w:t>
      </w:r>
      <w:r w:rsidR="00330AA8" w:rsidRPr="009E4D5F">
        <w:rPr>
          <w:rFonts w:ascii="Verdana" w:hAnsi="Verdana"/>
          <w:bCs/>
          <w:sz w:val="23"/>
          <w:szCs w:val="23"/>
        </w:rPr>
        <w:t>; y</w:t>
      </w:r>
      <w:r w:rsidR="001B533F" w:rsidRPr="009E4D5F">
        <w:rPr>
          <w:rFonts w:ascii="Verdana" w:hAnsi="Verdana"/>
          <w:bCs/>
          <w:sz w:val="23"/>
          <w:szCs w:val="23"/>
        </w:rPr>
        <w:t>,</w:t>
      </w:r>
      <w:r w:rsidR="00330AA8" w:rsidRPr="009E4D5F">
        <w:rPr>
          <w:rFonts w:ascii="Verdana" w:hAnsi="Verdana"/>
          <w:bCs/>
          <w:sz w:val="23"/>
          <w:szCs w:val="23"/>
        </w:rPr>
        <w:t xml:space="preserve"> se establecen los montos de los límites a las aportaciones de financiamiento privado de los partidos políticos (</w:t>
      </w:r>
      <w:r w:rsidR="00330AA8" w:rsidRPr="009E4D5F">
        <w:rPr>
          <w:rFonts w:ascii="Verdana" w:hAnsi="Verdana"/>
          <w:bCs/>
          <w:smallCaps/>
          <w:sz w:val="23"/>
          <w:szCs w:val="23"/>
        </w:rPr>
        <w:t>Acto Impugnado</w:t>
      </w:r>
      <w:r w:rsidR="00330AA8" w:rsidRPr="009E4D5F">
        <w:rPr>
          <w:rFonts w:ascii="Verdana" w:hAnsi="Verdana"/>
          <w:bCs/>
          <w:sz w:val="23"/>
          <w:szCs w:val="23"/>
        </w:rPr>
        <w:t>)</w:t>
      </w:r>
      <w:r w:rsidR="0031726F" w:rsidRPr="009E4D5F">
        <w:rPr>
          <w:rFonts w:ascii="Verdana" w:hAnsi="Verdana"/>
          <w:bCs/>
          <w:sz w:val="23"/>
          <w:szCs w:val="23"/>
        </w:rPr>
        <w:t>,</w:t>
      </w:r>
      <w:r w:rsidR="00383C9B" w:rsidRPr="009E4D5F">
        <w:rPr>
          <w:rFonts w:ascii="Verdana" w:hAnsi="Verdana"/>
          <w:bCs/>
          <w:sz w:val="23"/>
          <w:szCs w:val="23"/>
        </w:rPr>
        <w:t xml:space="preserve"> </w:t>
      </w:r>
      <w:r w:rsidR="0031726F" w:rsidRPr="009E4D5F">
        <w:rPr>
          <w:rFonts w:ascii="Verdana" w:hAnsi="Verdana"/>
          <w:bCs/>
          <w:sz w:val="23"/>
          <w:szCs w:val="23"/>
        </w:rPr>
        <w:t>toda vez que agotó su derecho para impugnar con un diverso escrito</w:t>
      </w:r>
      <w:r w:rsidR="001B533F" w:rsidRPr="009E4D5F">
        <w:rPr>
          <w:rFonts w:ascii="Verdana" w:hAnsi="Verdana"/>
          <w:bCs/>
          <w:sz w:val="23"/>
          <w:szCs w:val="23"/>
        </w:rPr>
        <w:t xml:space="preserve"> de Recurso de Apelación</w:t>
      </w:r>
      <w:r w:rsidR="00004191" w:rsidRPr="009E4D5F">
        <w:rPr>
          <w:rFonts w:ascii="Verdana" w:hAnsi="Verdana"/>
          <w:bCs/>
          <w:sz w:val="23"/>
          <w:szCs w:val="23"/>
        </w:rPr>
        <w:t>.</w:t>
      </w:r>
    </w:p>
    <w:p w14:paraId="6AE2C435" w14:textId="58E5520B" w:rsidR="009C1068" w:rsidRPr="009E4D5F" w:rsidRDefault="009C1068" w:rsidP="00A618EE">
      <w:pPr>
        <w:spacing w:before="100" w:beforeAutospacing="1" w:after="100" w:afterAutospacing="1" w:line="360" w:lineRule="auto"/>
        <w:jc w:val="both"/>
        <w:rPr>
          <w:rFonts w:ascii="Verdana" w:hAnsi="Verdana"/>
          <w:sz w:val="23"/>
          <w:szCs w:val="23"/>
        </w:rPr>
      </w:pPr>
      <w:r w:rsidRPr="009E4D5F">
        <w:rPr>
          <w:rFonts w:ascii="Verdana" w:hAnsi="Verdana"/>
          <w:sz w:val="23"/>
          <w:szCs w:val="23"/>
        </w:rPr>
        <w:t>Las fechas enunciadas deben entenderse referidas al año dos mil veintitrés, salvo señalamiento expreso en contrario.</w:t>
      </w:r>
    </w:p>
    <w:p w14:paraId="188E0A8F" w14:textId="4EF4971B" w:rsidR="009C1068" w:rsidRPr="009E4D5F" w:rsidRDefault="001C6AFE" w:rsidP="00A618EE">
      <w:pPr>
        <w:spacing w:before="100" w:beforeAutospacing="1" w:after="100" w:afterAutospacing="1" w:line="360" w:lineRule="auto"/>
        <w:rPr>
          <w:rFonts w:ascii="Verdana" w:hAnsi="Verdana" w:cs="Arial"/>
          <w:b/>
          <w:bCs/>
          <w:sz w:val="23"/>
          <w:szCs w:val="23"/>
        </w:rPr>
      </w:pPr>
      <w:r w:rsidRPr="009E4D5F">
        <w:rPr>
          <w:rFonts w:ascii="Verdana" w:hAnsi="Verdana" w:cs="Arial"/>
          <w:b/>
          <w:bCs/>
          <w:sz w:val="23"/>
          <w:szCs w:val="23"/>
        </w:rPr>
        <w:lastRenderedPageBreak/>
        <w:t xml:space="preserve">I. </w:t>
      </w:r>
      <w:r w:rsidR="009C1068" w:rsidRPr="009E4D5F">
        <w:rPr>
          <w:rFonts w:ascii="Verdana" w:hAnsi="Verdana" w:cs="Arial"/>
          <w:b/>
          <w:bCs/>
          <w:sz w:val="23"/>
          <w:szCs w:val="23"/>
        </w:rPr>
        <w:t>ANTECEDENTES</w:t>
      </w:r>
    </w:p>
    <w:p w14:paraId="6A991835" w14:textId="3262A933" w:rsidR="00004191" w:rsidRPr="009E4D5F" w:rsidRDefault="00B675BC" w:rsidP="00A618EE">
      <w:pPr>
        <w:pBdr>
          <w:top w:val="nil"/>
          <w:left w:val="nil"/>
          <w:bottom w:val="nil"/>
          <w:right w:val="nil"/>
          <w:between w:val="nil"/>
        </w:pBdr>
        <w:spacing w:before="100" w:beforeAutospacing="1" w:after="100" w:afterAutospacing="1" w:line="360" w:lineRule="auto"/>
        <w:jc w:val="both"/>
        <w:rPr>
          <w:rFonts w:ascii="Verdana" w:hAnsi="Verdana" w:cs="Arial"/>
          <w:sz w:val="23"/>
          <w:szCs w:val="23"/>
        </w:rPr>
      </w:pPr>
      <w:r w:rsidRPr="009E4D5F">
        <w:rPr>
          <w:rFonts w:ascii="Verdana" w:hAnsi="Verdana" w:cs="Arial"/>
          <w:sz w:val="23"/>
          <w:szCs w:val="23"/>
        </w:rPr>
        <w:t xml:space="preserve">De los hechos narrados en </w:t>
      </w:r>
      <w:r w:rsidR="00004191" w:rsidRPr="009E4D5F">
        <w:rPr>
          <w:rFonts w:ascii="Verdana" w:hAnsi="Verdana" w:cs="Arial"/>
          <w:sz w:val="23"/>
          <w:szCs w:val="23"/>
        </w:rPr>
        <w:t>el</w:t>
      </w:r>
      <w:r w:rsidRPr="009E4D5F">
        <w:rPr>
          <w:rFonts w:ascii="Verdana" w:hAnsi="Verdana" w:cs="Arial"/>
          <w:sz w:val="23"/>
          <w:szCs w:val="23"/>
        </w:rPr>
        <w:t xml:space="preserve"> escrito de demanda,</w:t>
      </w:r>
      <w:r w:rsidR="00437562" w:rsidRPr="009E4D5F">
        <w:rPr>
          <w:rFonts w:ascii="Verdana" w:hAnsi="Verdana" w:cs="Arial"/>
          <w:sz w:val="23"/>
          <w:szCs w:val="23"/>
        </w:rPr>
        <w:t xml:space="preserve"> de</w:t>
      </w:r>
      <w:r w:rsidRPr="009E4D5F">
        <w:rPr>
          <w:rFonts w:ascii="Verdana" w:hAnsi="Verdana" w:cs="Arial"/>
          <w:sz w:val="23"/>
          <w:szCs w:val="23"/>
        </w:rPr>
        <w:t xml:space="preserve"> las constancias que obran en el expediente,</w:t>
      </w:r>
      <w:r w:rsidR="00D36BC0" w:rsidRPr="009E4D5F">
        <w:rPr>
          <w:rFonts w:ascii="Verdana" w:hAnsi="Verdana" w:cs="Arial"/>
          <w:sz w:val="23"/>
          <w:szCs w:val="23"/>
        </w:rPr>
        <w:t xml:space="preserve"> </w:t>
      </w:r>
      <w:r w:rsidR="00437562" w:rsidRPr="009E4D5F">
        <w:rPr>
          <w:rFonts w:ascii="Verdana" w:hAnsi="Verdana" w:cs="Arial"/>
          <w:sz w:val="23"/>
          <w:szCs w:val="23"/>
        </w:rPr>
        <w:t xml:space="preserve">así como de </w:t>
      </w:r>
      <w:r w:rsidR="00D36BC0" w:rsidRPr="009E4D5F">
        <w:rPr>
          <w:rFonts w:ascii="Verdana" w:hAnsi="Verdana" w:cs="Arial"/>
          <w:sz w:val="23"/>
          <w:szCs w:val="23"/>
        </w:rPr>
        <w:t>los hechos notorios</w:t>
      </w:r>
      <w:r w:rsidR="00D36BC0" w:rsidRPr="009E4D5F">
        <w:rPr>
          <w:rFonts w:ascii="Verdana" w:hAnsi="Verdana" w:cs="Arial"/>
          <w:sz w:val="23"/>
          <w:szCs w:val="23"/>
          <w:lang w:val="es-MX"/>
        </w:rPr>
        <w:t>,</w:t>
      </w:r>
      <w:r w:rsidR="00D36BC0" w:rsidRPr="009E4D5F">
        <w:rPr>
          <w:rFonts w:ascii="Verdana" w:hAnsi="Verdana" w:cs="Arial"/>
          <w:sz w:val="23"/>
          <w:szCs w:val="23"/>
          <w:vertAlign w:val="superscript"/>
          <w:lang w:val="es-MX"/>
        </w:rPr>
        <w:footnoteReference w:id="1"/>
      </w:r>
      <w:r w:rsidR="00D36BC0" w:rsidRPr="009E4D5F">
        <w:rPr>
          <w:rFonts w:ascii="Verdana" w:hAnsi="Verdana" w:cs="Arial"/>
          <w:sz w:val="23"/>
          <w:szCs w:val="23"/>
          <w:lang w:val="es-MX"/>
        </w:rPr>
        <w:t xml:space="preserve"> </w:t>
      </w:r>
      <w:r w:rsidR="00004191" w:rsidRPr="009E4D5F">
        <w:rPr>
          <w:rFonts w:ascii="Verdana" w:eastAsia="Arial" w:hAnsi="Verdana" w:cs="Arial"/>
          <w:bCs/>
          <w:color w:val="000000"/>
          <w:sz w:val="23"/>
          <w:szCs w:val="23"/>
          <w:lang w:val="es-MX"/>
        </w:rPr>
        <w:t>se advierten los siguientes hechos relevantes:</w:t>
      </w:r>
    </w:p>
    <w:p w14:paraId="0E42A39D" w14:textId="4CC3A7B6" w:rsidR="00004191" w:rsidRPr="009E4D5F" w:rsidRDefault="00004191" w:rsidP="00A618EE">
      <w:pPr>
        <w:pBdr>
          <w:top w:val="nil"/>
          <w:left w:val="nil"/>
          <w:bottom w:val="nil"/>
          <w:right w:val="nil"/>
          <w:between w:val="nil"/>
        </w:pBdr>
        <w:spacing w:before="100" w:beforeAutospacing="1" w:after="100" w:afterAutospacing="1" w:line="360" w:lineRule="auto"/>
        <w:jc w:val="both"/>
        <w:rPr>
          <w:rFonts w:ascii="Verdana" w:eastAsia="Arial" w:hAnsi="Verdana" w:cs="Arial"/>
          <w:bCs/>
          <w:color w:val="000000"/>
          <w:sz w:val="23"/>
          <w:szCs w:val="23"/>
          <w:lang w:val="es-MX"/>
        </w:rPr>
      </w:pPr>
      <w:r w:rsidRPr="009E4D5F">
        <w:rPr>
          <w:rFonts w:ascii="Verdana" w:eastAsia="Arial" w:hAnsi="Verdana"/>
          <w:b/>
          <w:bCs/>
          <w:sz w:val="23"/>
          <w:szCs w:val="23"/>
        </w:rPr>
        <w:t>1.</w:t>
      </w:r>
      <w:r w:rsidRPr="009E4D5F">
        <w:rPr>
          <w:rFonts w:ascii="Verdana" w:eastAsia="Arial" w:hAnsi="Verdana"/>
          <w:sz w:val="23"/>
          <w:szCs w:val="23"/>
        </w:rPr>
        <w:t xml:space="preserve"> El doce de enero de dos mil veintitrés,</w:t>
      </w:r>
      <w:r w:rsidR="002E07C8" w:rsidRPr="009E4D5F">
        <w:rPr>
          <w:rFonts w:ascii="Verdana" w:eastAsia="Arial" w:hAnsi="Verdana"/>
          <w:sz w:val="23"/>
          <w:szCs w:val="23"/>
        </w:rPr>
        <w:t xml:space="preserve"> la</w:t>
      </w:r>
      <w:r w:rsidRPr="009E4D5F">
        <w:rPr>
          <w:rFonts w:ascii="Verdana" w:eastAsia="Arial" w:hAnsi="Verdana"/>
          <w:sz w:val="23"/>
          <w:szCs w:val="23"/>
        </w:rPr>
        <w:t xml:space="preserve"> </w:t>
      </w:r>
      <w:r w:rsidRPr="009E4D5F">
        <w:rPr>
          <w:rFonts w:ascii="Verdana" w:eastAsia="Arial" w:hAnsi="Verdana"/>
          <w:smallCaps/>
          <w:sz w:val="23"/>
          <w:szCs w:val="23"/>
        </w:rPr>
        <w:t>Autoridad Responsable</w:t>
      </w:r>
      <w:r w:rsidRPr="009E4D5F">
        <w:rPr>
          <w:rFonts w:ascii="Verdana" w:eastAsia="Arial" w:hAnsi="Verdana"/>
          <w:sz w:val="23"/>
          <w:szCs w:val="23"/>
        </w:rPr>
        <w:t xml:space="preserve"> emitió el Acuerdo CG-A-01/23, mediante el cual </w:t>
      </w:r>
      <w:r w:rsidRPr="009E4D5F">
        <w:rPr>
          <w:rFonts w:ascii="Verdana" w:hAnsi="Verdana"/>
          <w:bCs/>
          <w:sz w:val="23"/>
          <w:szCs w:val="23"/>
        </w:rPr>
        <w:t>aprobó la distribución del financiamiento público estatal a los partidos políticos, para su gasto ordinario y actividades específicas correspondiente al ejercicio fiscal del año dos mil veintitrés; y se establecen los montos de los límites a las aportaciones de financiamiento privado de los partidos políticos.</w:t>
      </w:r>
      <w:r w:rsidRPr="009E4D5F">
        <w:rPr>
          <w:rStyle w:val="Refdenotaalpie"/>
          <w:rFonts w:ascii="Verdana" w:hAnsi="Verdana"/>
          <w:bCs/>
          <w:sz w:val="23"/>
          <w:szCs w:val="23"/>
        </w:rPr>
        <w:footnoteReference w:id="2"/>
      </w:r>
    </w:p>
    <w:p w14:paraId="2D8B8944" w14:textId="5BE39CB5" w:rsidR="00004191" w:rsidRPr="009E4D5F" w:rsidRDefault="00004191" w:rsidP="00A618EE">
      <w:pPr>
        <w:spacing w:before="100" w:beforeAutospacing="1" w:after="100" w:afterAutospacing="1" w:line="360" w:lineRule="auto"/>
        <w:jc w:val="both"/>
        <w:rPr>
          <w:rFonts w:ascii="Verdana" w:hAnsi="Verdana"/>
          <w:bCs/>
          <w:sz w:val="23"/>
          <w:szCs w:val="23"/>
        </w:rPr>
      </w:pPr>
      <w:r w:rsidRPr="009E4D5F">
        <w:rPr>
          <w:rFonts w:ascii="Verdana" w:hAnsi="Verdana"/>
          <w:b/>
          <w:sz w:val="23"/>
          <w:szCs w:val="23"/>
        </w:rPr>
        <w:t>2.</w:t>
      </w:r>
      <w:r w:rsidRPr="009E4D5F">
        <w:rPr>
          <w:rFonts w:ascii="Verdana" w:hAnsi="Verdana"/>
          <w:bCs/>
          <w:sz w:val="23"/>
          <w:szCs w:val="23"/>
        </w:rPr>
        <w:t xml:space="preserve"> Inconforme, la </w:t>
      </w:r>
      <w:r w:rsidRPr="009E4D5F">
        <w:rPr>
          <w:rFonts w:ascii="Verdana" w:hAnsi="Verdana"/>
          <w:bCs/>
          <w:smallCaps/>
          <w:sz w:val="23"/>
          <w:szCs w:val="23"/>
        </w:rPr>
        <w:t>Parte Recurrente,</w:t>
      </w:r>
      <w:r w:rsidRPr="009E4D5F">
        <w:rPr>
          <w:rFonts w:ascii="Verdana" w:hAnsi="Verdana"/>
          <w:bCs/>
          <w:sz w:val="23"/>
          <w:szCs w:val="23"/>
        </w:rPr>
        <w:t xml:space="preserve"> el diecisiete de enero, presentó </w:t>
      </w:r>
      <w:r w:rsidRPr="009E4D5F">
        <w:rPr>
          <w:rFonts w:ascii="Verdana" w:hAnsi="Verdana"/>
          <w:bCs/>
          <w:i/>
          <w:iCs/>
          <w:sz w:val="23"/>
          <w:szCs w:val="23"/>
        </w:rPr>
        <w:t>per saltum</w:t>
      </w:r>
      <w:r w:rsidRPr="009E4D5F">
        <w:rPr>
          <w:rFonts w:ascii="Verdana" w:hAnsi="Verdana"/>
          <w:bCs/>
          <w:sz w:val="23"/>
          <w:szCs w:val="23"/>
        </w:rPr>
        <w:t xml:space="preserve"> Juicio de Revisión Constitucional, dirigido a la Sala Superior del Tribunal Electoral del Poder Judicial de la Federación (</w:t>
      </w:r>
      <w:r w:rsidRPr="009E4D5F">
        <w:rPr>
          <w:rFonts w:ascii="Verdana" w:hAnsi="Verdana"/>
          <w:bCs/>
          <w:smallCaps/>
          <w:sz w:val="23"/>
          <w:szCs w:val="23"/>
        </w:rPr>
        <w:t>Sala Superior</w:t>
      </w:r>
      <w:r w:rsidRPr="009E4D5F">
        <w:rPr>
          <w:rFonts w:ascii="Verdana" w:hAnsi="Verdana"/>
          <w:bCs/>
          <w:sz w:val="23"/>
          <w:szCs w:val="23"/>
        </w:rPr>
        <w:t xml:space="preserve">), en contra del acuerdo precisado en el numeral anterior, el cual se registró bajo el número </w:t>
      </w:r>
      <w:r w:rsidRPr="009E4D5F">
        <w:rPr>
          <w:rFonts w:ascii="Verdana" w:eastAsia="Arial" w:hAnsi="Verdana"/>
          <w:sz w:val="23"/>
          <w:szCs w:val="23"/>
        </w:rPr>
        <w:t>SUP-JRC-4/2023</w:t>
      </w:r>
      <w:r w:rsidRPr="009E4D5F">
        <w:rPr>
          <w:rFonts w:ascii="Verdana" w:hAnsi="Verdana"/>
          <w:bCs/>
          <w:sz w:val="23"/>
          <w:szCs w:val="23"/>
        </w:rPr>
        <w:t>.</w:t>
      </w:r>
      <w:r w:rsidR="00887942" w:rsidRPr="009E4D5F">
        <w:rPr>
          <w:rStyle w:val="Refdenotaalpie"/>
          <w:rFonts w:ascii="Verdana" w:hAnsi="Verdana"/>
          <w:bCs/>
          <w:sz w:val="23"/>
          <w:szCs w:val="23"/>
        </w:rPr>
        <w:footnoteReference w:id="3"/>
      </w:r>
      <w:r w:rsidRPr="009E4D5F">
        <w:rPr>
          <w:rFonts w:ascii="Verdana" w:hAnsi="Verdana"/>
          <w:bCs/>
          <w:sz w:val="23"/>
          <w:szCs w:val="23"/>
        </w:rPr>
        <w:t xml:space="preserve"> </w:t>
      </w:r>
    </w:p>
    <w:p w14:paraId="5D1DB744" w14:textId="77777777" w:rsidR="00004191" w:rsidRPr="009E4D5F" w:rsidRDefault="00004191" w:rsidP="00A618EE">
      <w:pPr>
        <w:spacing w:before="100" w:beforeAutospacing="1" w:after="100" w:afterAutospacing="1" w:line="360" w:lineRule="auto"/>
        <w:jc w:val="both"/>
        <w:rPr>
          <w:rFonts w:ascii="Verdana" w:eastAsia="Arial" w:hAnsi="Verdana"/>
          <w:sz w:val="23"/>
          <w:szCs w:val="23"/>
        </w:rPr>
      </w:pPr>
      <w:r w:rsidRPr="009E4D5F">
        <w:rPr>
          <w:rFonts w:ascii="Verdana" w:eastAsia="Arial" w:hAnsi="Verdana"/>
          <w:b/>
          <w:bCs/>
          <w:sz w:val="23"/>
          <w:szCs w:val="23"/>
        </w:rPr>
        <w:t>3.</w:t>
      </w:r>
      <w:r w:rsidRPr="009E4D5F">
        <w:rPr>
          <w:rFonts w:ascii="Verdana" w:eastAsia="Arial" w:hAnsi="Verdana"/>
          <w:sz w:val="23"/>
          <w:szCs w:val="23"/>
        </w:rPr>
        <w:t xml:space="preserve"> El dieciocho siguiente, el Partido Político Verde Ecologista de México, presentó diverso Recurso de Apelación en contra del mismo acuerdo, ante la </w:t>
      </w:r>
      <w:r w:rsidRPr="009E4D5F">
        <w:rPr>
          <w:rFonts w:ascii="Verdana" w:eastAsia="Arial" w:hAnsi="Verdana"/>
          <w:smallCaps/>
          <w:sz w:val="23"/>
          <w:szCs w:val="23"/>
        </w:rPr>
        <w:t>Autoridad Responsable</w:t>
      </w:r>
      <w:r w:rsidRPr="009E4D5F">
        <w:rPr>
          <w:rFonts w:ascii="Verdana" w:eastAsia="Arial" w:hAnsi="Verdana"/>
          <w:sz w:val="23"/>
          <w:szCs w:val="23"/>
        </w:rPr>
        <w:t xml:space="preserve"> al negarle el derecho al financiamiento público. </w:t>
      </w:r>
    </w:p>
    <w:p w14:paraId="580C8312" w14:textId="3B514AF9" w:rsidR="00004191" w:rsidRPr="009E4D5F" w:rsidRDefault="00004191" w:rsidP="00A618EE">
      <w:pPr>
        <w:spacing w:before="100" w:beforeAutospacing="1" w:after="100" w:afterAutospacing="1" w:line="360" w:lineRule="auto"/>
        <w:jc w:val="both"/>
        <w:rPr>
          <w:rFonts w:ascii="Verdana" w:eastAsia="Arial" w:hAnsi="Verdana"/>
          <w:sz w:val="23"/>
          <w:szCs w:val="23"/>
        </w:rPr>
      </w:pPr>
      <w:r w:rsidRPr="009E4D5F">
        <w:rPr>
          <w:rFonts w:ascii="Verdana" w:eastAsia="Arial" w:hAnsi="Verdana"/>
          <w:b/>
          <w:bCs/>
          <w:sz w:val="23"/>
          <w:szCs w:val="23"/>
        </w:rPr>
        <w:t>4.</w:t>
      </w:r>
      <w:r w:rsidRPr="009E4D5F">
        <w:rPr>
          <w:rFonts w:ascii="Verdana" w:eastAsia="Arial" w:hAnsi="Verdana"/>
          <w:sz w:val="23"/>
          <w:szCs w:val="23"/>
        </w:rPr>
        <w:t xml:space="preserve"> El veinticuatro de enero, la </w:t>
      </w:r>
      <w:r w:rsidRPr="009E4D5F">
        <w:rPr>
          <w:rFonts w:ascii="Verdana" w:eastAsia="Arial" w:hAnsi="Verdana"/>
          <w:smallCaps/>
          <w:sz w:val="23"/>
          <w:szCs w:val="23"/>
        </w:rPr>
        <w:t>Autoridad Responsable</w:t>
      </w:r>
      <w:r w:rsidRPr="009E4D5F">
        <w:rPr>
          <w:rFonts w:ascii="Verdana" w:eastAsia="Arial" w:hAnsi="Verdana"/>
          <w:sz w:val="23"/>
          <w:szCs w:val="23"/>
        </w:rPr>
        <w:t xml:space="preserve"> remitió a este Tribunal Electoral del Estado de Aguascalientes (</w:t>
      </w:r>
      <w:r w:rsidRPr="009E4D5F">
        <w:rPr>
          <w:rFonts w:ascii="Verdana" w:eastAsia="Arial" w:hAnsi="Verdana"/>
          <w:smallCaps/>
          <w:sz w:val="23"/>
          <w:szCs w:val="23"/>
        </w:rPr>
        <w:t xml:space="preserve">Tribunal Electoral), </w:t>
      </w:r>
      <w:r w:rsidRPr="009E4D5F">
        <w:rPr>
          <w:rFonts w:ascii="Verdana" w:eastAsia="Arial" w:hAnsi="Verdana"/>
          <w:sz w:val="23"/>
          <w:szCs w:val="23"/>
        </w:rPr>
        <w:t xml:space="preserve">el Recurso de Apelación señalado en el párrafo anterior y en la misma fecha se turnó a la ponencia de la Magistratura que Preside, con el </w:t>
      </w:r>
      <w:r w:rsidRPr="009E4D5F">
        <w:rPr>
          <w:rFonts w:ascii="Verdana" w:eastAsia="Arial" w:hAnsi="Verdana"/>
          <w:sz w:val="23"/>
          <w:szCs w:val="23"/>
        </w:rPr>
        <w:lastRenderedPageBreak/>
        <w:t>número de expediente TEEA-RAP-001/2023, radicándolo el veinticinco siguiente.</w:t>
      </w:r>
      <w:r w:rsidR="00887942" w:rsidRPr="009E4D5F">
        <w:rPr>
          <w:rStyle w:val="Refdenotaalpie"/>
          <w:rFonts w:ascii="Verdana" w:eastAsia="Arial" w:hAnsi="Verdana"/>
          <w:sz w:val="23"/>
          <w:szCs w:val="23"/>
        </w:rPr>
        <w:footnoteReference w:id="4"/>
      </w:r>
      <w:r w:rsidRPr="009E4D5F">
        <w:rPr>
          <w:rFonts w:ascii="Verdana" w:eastAsia="Arial" w:hAnsi="Verdana"/>
          <w:sz w:val="23"/>
          <w:szCs w:val="23"/>
        </w:rPr>
        <w:t xml:space="preserve"> </w:t>
      </w:r>
    </w:p>
    <w:p w14:paraId="730D1B6F" w14:textId="45370D4D" w:rsidR="00004191" w:rsidRPr="009E4D5F" w:rsidRDefault="00004191" w:rsidP="00A618EE">
      <w:pPr>
        <w:spacing w:before="100" w:beforeAutospacing="1" w:after="100" w:afterAutospacing="1" w:line="360" w:lineRule="auto"/>
        <w:jc w:val="both"/>
        <w:rPr>
          <w:rFonts w:ascii="Verdana" w:eastAsia="Arial" w:hAnsi="Verdana"/>
          <w:sz w:val="23"/>
          <w:szCs w:val="23"/>
        </w:rPr>
      </w:pPr>
      <w:r w:rsidRPr="009E4D5F">
        <w:rPr>
          <w:rFonts w:ascii="Verdana" w:eastAsia="Arial" w:hAnsi="Verdana"/>
          <w:b/>
          <w:bCs/>
          <w:sz w:val="23"/>
          <w:szCs w:val="23"/>
        </w:rPr>
        <w:t>5.</w:t>
      </w:r>
      <w:r w:rsidRPr="009E4D5F">
        <w:rPr>
          <w:rFonts w:ascii="Verdana" w:eastAsia="Arial" w:hAnsi="Verdana"/>
          <w:sz w:val="23"/>
          <w:szCs w:val="23"/>
        </w:rPr>
        <w:t xml:space="preserve"> En la misma fecha, la </w:t>
      </w:r>
      <w:r w:rsidRPr="009E4D5F">
        <w:rPr>
          <w:rFonts w:ascii="Verdana" w:eastAsia="Arial" w:hAnsi="Verdana"/>
          <w:smallCaps/>
          <w:sz w:val="23"/>
          <w:szCs w:val="23"/>
        </w:rPr>
        <w:t>Sala Superior</w:t>
      </w:r>
      <w:r w:rsidRPr="009E4D5F">
        <w:rPr>
          <w:rFonts w:ascii="Verdana" w:eastAsia="Arial" w:hAnsi="Verdana"/>
          <w:sz w:val="23"/>
          <w:szCs w:val="23"/>
        </w:rPr>
        <w:t xml:space="preserve"> dictó Acuerdo de Sala dentro del expediente SUP-JRC-4/2023, en el que determinó que la competencia para conocer del asunto recae en la Sala Regional del Tribunal Electoral del Poder Judicial de la Federación, correspondiente a la Segunda Circunscripción Electoral Plurinominal, con sede en Monterrey, Nuevo León (</w:t>
      </w:r>
      <w:r w:rsidRPr="009E4D5F">
        <w:rPr>
          <w:rFonts w:ascii="Verdana" w:eastAsia="Arial" w:hAnsi="Verdana"/>
          <w:smallCaps/>
          <w:sz w:val="23"/>
          <w:szCs w:val="23"/>
        </w:rPr>
        <w:t>Sala Monterrey</w:t>
      </w:r>
      <w:r w:rsidRPr="009E4D5F">
        <w:rPr>
          <w:rFonts w:ascii="Verdana" w:eastAsia="Arial" w:hAnsi="Verdana"/>
          <w:sz w:val="23"/>
          <w:szCs w:val="23"/>
        </w:rPr>
        <w:t>).</w:t>
      </w:r>
      <w:r w:rsidR="00887942" w:rsidRPr="009E4D5F">
        <w:rPr>
          <w:rStyle w:val="Refdenotaalpie"/>
          <w:rFonts w:ascii="Verdana" w:eastAsia="Arial" w:hAnsi="Verdana"/>
          <w:sz w:val="23"/>
          <w:szCs w:val="23"/>
        </w:rPr>
        <w:footnoteReference w:id="5"/>
      </w:r>
    </w:p>
    <w:p w14:paraId="58E25F9E" w14:textId="4FAB7B7D" w:rsidR="00004191" w:rsidRPr="009E4D5F" w:rsidRDefault="00004191" w:rsidP="00A618EE">
      <w:pPr>
        <w:spacing w:before="100" w:beforeAutospacing="1" w:after="100" w:afterAutospacing="1" w:line="360" w:lineRule="auto"/>
        <w:jc w:val="both"/>
        <w:rPr>
          <w:rFonts w:ascii="Verdana" w:eastAsia="Arial" w:hAnsi="Verdana"/>
          <w:sz w:val="23"/>
          <w:szCs w:val="23"/>
        </w:rPr>
      </w:pPr>
      <w:r w:rsidRPr="009E4D5F">
        <w:rPr>
          <w:rFonts w:ascii="Verdana" w:eastAsia="Arial" w:hAnsi="Verdana"/>
          <w:b/>
          <w:bCs/>
          <w:sz w:val="23"/>
          <w:szCs w:val="23"/>
        </w:rPr>
        <w:t>6.</w:t>
      </w:r>
      <w:r w:rsidRPr="009E4D5F">
        <w:rPr>
          <w:rFonts w:ascii="Verdana" w:eastAsia="Arial" w:hAnsi="Verdana"/>
          <w:sz w:val="23"/>
          <w:szCs w:val="23"/>
        </w:rPr>
        <w:t xml:space="preserve"> Al efecto, mediante Acuerdo Plenario de Reencauzamiento dictado el tres de febrero en el expediente SM-JRC-2/2023, la </w:t>
      </w:r>
      <w:r w:rsidRPr="009E4D5F">
        <w:rPr>
          <w:rFonts w:ascii="Verdana" w:eastAsia="Arial" w:hAnsi="Verdana"/>
          <w:smallCaps/>
          <w:sz w:val="23"/>
          <w:szCs w:val="23"/>
        </w:rPr>
        <w:t>Sala Monterrey</w:t>
      </w:r>
      <w:r w:rsidRPr="009E4D5F">
        <w:rPr>
          <w:rFonts w:ascii="Verdana" w:eastAsia="Arial" w:hAnsi="Verdana"/>
          <w:sz w:val="23"/>
          <w:szCs w:val="23"/>
        </w:rPr>
        <w:t xml:space="preserve"> a su vez, reencauzó a este </w:t>
      </w:r>
      <w:r w:rsidRPr="009E4D5F">
        <w:rPr>
          <w:rFonts w:ascii="Verdana" w:eastAsia="Arial" w:hAnsi="Verdana"/>
          <w:smallCaps/>
          <w:sz w:val="23"/>
          <w:szCs w:val="23"/>
        </w:rPr>
        <w:t>Tribunal Electoral</w:t>
      </w:r>
      <w:r w:rsidRPr="009E4D5F">
        <w:rPr>
          <w:rFonts w:ascii="Verdana" w:eastAsia="Arial" w:hAnsi="Verdana"/>
          <w:sz w:val="23"/>
          <w:szCs w:val="23"/>
        </w:rPr>
        <w:t xml:space="preserve"> el medio de impugnación señalado en el punto anterior.</w:t>
      </w:r>
      <w:r w:rsidR="00887942" w:rsidRPr="009E4D5F">
        <w:rPr>
          <w:rStyle w:val="Refdenotaalpie"/>
          <w:rFonts w:ascii="Verdana" w:eastAsia="Arial" w:hAnsi="Verdana"/>
          <w:sz w:val="23"/>
          <w:szCs w:val="23"/>
        </w:rPr>
        <w:footnoteReference w:id="6"/>
      </w:r>
      <w:r w:rsidRPr="009E4D5F">
        <w:rPr>
          <w:rFonts w:ascii="Verdana" w:eastAsia="Arial" w:hAnsi="Verdana"/>
          <w:sz w:val="23"/>
          <w:szCs w:val="23"/>
        </w:rPr>
        <w:t xml:space="preserve"> </w:t>
      </w:r>
    </w:p>
    <w:p w14:paraId="7F7B189F" w14:textId="54B11035" w:rsidR="00004191" w:rsidRPr="009E4D5F" w:rsidRDefault="00004191" w:rsidP="00A618EE">
      <w:pPr>
        <w:spacing w:before="100" w:beforeAutospacing="1" w:after="100" w:afterAutospacing="1" w:line="360" w:lineRule="auto"/>
        <w:jc w:val="both"/>
        <w:rPr>
          <w:rFonts w:ascii="Verdana" w:eastAsia="Arial" w:hAnsi="Verdana"/>
          <w:sz w:val="23"/>
          <w:szCs w:val="23"/>
        </w:rPr>
      </w:pPr>
      <w:r w:rsidRPr="009E4D5F">
        <w:rPr>
          <w:rFonts w:ascii="Verdana" w:eastAsia="Arial" w:hAnsi="Verdana"/>
          <w:b/>
          <w:bCs/>
          <w:sz w:val="23"/>
          <w:szCs w:val="23"/>
        </w:rPr>
        <w:t>7.</w:t>
      </w:r>
      <w:r w:rsidRPr="009E4D5F">
        <w:rPr>
          <w:rFonts w:ascii="Verdana" w:eastAsia="Arial" w:hAnsi="Verdana"/>
          <w:sz w:val="23"/>
          <w:szCs w:val="23"/>
        </w:rPr>
        <w:t xml:space="preserve"> El siete de febrero, este </w:t>
      </w:r>
      <w:r w:rsidRPr="009E4D5F">
        <w:rPr>
          <w:rFonts w:ascii="Verdana" w:eastAsia="Arial" w:hAnsi="Verdana"/>
          <w:smallCaps/>
          <w:sz w:val="23"/>
          <w:szCs w:val="23"/>
        </w:rPr>
        <w:t>Tribunal Electoral</w:t>
      </w:r>
      <w:r w:rsidRPr="009E4D5F">
        <w:rPr>
          <w:rFonts w:ascii="Verdana" w:eastAsia="Arial" w:hAnsi="Verdana"/>
          <w:sz w:val="23"/>
          <w:szCs w:val="23"/>
        </w:rPr>
        <w:t xml:space="preserve"> dictó sentencia en el Recurso de Apelación identificado con la clave TEEA-RAP-001/2023, en la que revocó el Acuerdo CG-A-01/23 y ordenó a la </w:t>
      </w:r>
      <w:r w:rsidRPr="009E4D5F">
        <w:rPr>
          <w:rFonts w:ascii="Verdana" w:eastAsia="Arial" w:hAnsi="Verdana"/>
          <w:smallCaps/>
          <w:sz w:val="23"/>
          <w:szCs w:val="23"/>
        </w:rPr>
        <w:t>Autoridad Responsable</w:t>
      </w:r>
      <w:r w:rsidRPr="009E4D5F">
        <w:rPr>
          <w:rFonts w:ascii="Verdana" w:eastAsia="Arial" w:hAnsi="Verdana"/>
          <w:sz w:val="23"/>
          <w:szCs w:val="23"/>
        </w:rPr>
        <w:t xml:space="preserve"> emitiera un nuevo acuerdo.</w:t>
      </w:r>
      <w:r w:rsidR="00887942" w:rsidRPr="009E4D5F">
        <w:rPr>
          <w:rStyle w:val="Refdenotaalpie"/>
          <w:rFonts w:ascii="Verdana" w:eastAsia="Arial" w:hAnsi="Verdana"/>
          <w:sz w:val="23"/>
          <w:szCs w:val="23"/>
        </w:rPr>
        <w:footnoteReference w:id="7"/>
      </w:r>
      <w:r w:rsidRPr="009E4D5F">
        <w:rPr>
          <w:rFonts w:ascii="Verdana" w:eastAsia="Arial" w:hAnsi="Verdana"/>
          <w:sz w:val="23"/>
          <w:szCs w:val="23"/>
        </w:rPr>
        <w:t xml:space="preserve"> </w:t>
      </w:r>
    </w:p>
    <w:p w14:paraId="4D510AED" w14:textId="712669CB" w:rsidR="00004191" w:rsidRPr="009E4D5F" w:rsidRDefault="00004191" w:rsidP="00A618EE">
      <w:pPr>
        <w:spacing w:before="100" w:beforeAutospacing="1" w:after="100" w:afterAutospacing="1" w:line="360" w:lineRule="auto"/>
        <w:jc w:val="both"/>
        <w:rPr>
          <w:rFonts w:ascii="Verdana" w:eastAsia="Arial" w:hAnsi="Verdana"/>
          <w:sz w:val="23"/>
          <w:szCs w:val="23"/>
        </w:rPr>
      </w:pPr>
      <w:r w:rsidRPr="009E4D5F">
        <w:rPr>
          <w:rFonts w:ascii="Verdana" w:eastAsia="Arial" w:hAnsi="Verdana"/>
          <w:b/>
          <w:bCs/>
          <w:sz w:val="23"/>
          <w:szCs w:val="23"/>
        </w:rPr>
        <w:t>8.</w:t>
      </w:r>
      <w:r w:rsidRPr="009E4D5F">
        <w:rPr>
          <w:rFonts w:ascii="Verdana" w:eastAsia="Arial" w:hAnsi="Verdana"/>
          <w:sz w:val="23"/>
          <w:szCs w:val="23"/>
        </w:rPr>
        <w:t xml:space="preserve"> En la misma fecha, se recibió en este </w:t>
      </w:r>
      <w:r w:rsidRPr="009E4D5F">
        <w:rPr>
          <w:rFonts w:ascii="Verdana" w:eastAsia="Arial" w:hAnsi="Verdana"/>
          <w:smallCaps/>
          <w:sz w:val="23"/>
          <w:szCs w:val="23"/>
        </w:rPr>
        <w:t>Tribunal Electoral</w:t>
      </w:r>
      <w:r w:rsidRPr="009E4D5F">
        <w:rPr>
          <w:rFonts w:ascii="Verdana" w:eastAsia="Arial" w:hAnsi="Verdana"/>
          <w:sz w:val="23"/>
          <w:szCs w:val="23"/>
        </w:rPr>
        <w:t xml:space="preserve">, el Juicio de Revisión Constitucional en Materia Electoral número SM-JRC-2/2023, así como las constancias respectivas, para conocimiento de este </w:t>
      </w:r>
      <w:r w:rsidRPr="009E4D5F">
        <w:rPr>
          <w:rFonts w:ascii="Verdana" w:eastAsia="Arial" w:hAnsi="Verdana"/>
          <w:smallCaps/>
          <w:sz w:val="23"/>
          <w:szCs w:val="23"/>
        </w:rPr>
        <w:t>Tribunal Electoral</w:t>
      </w:r>
      <w:r w:rsidR="00014E17" w:rsidRPr="009E4D5F">
        <w:rPr>
          <w:rFonts w:ascii="Verdana" w:eastAsia="Arial" w:hAnsi="Verdana"/>
          <w:sz w:val="23"/>
          <w:szCs w:val="23"/>
        </w:rPr>
        <w:t xml:space="preserve">; asimismo, el </w:t>
      </w:r>
      <w:r w:rsidRPr="009E4D5F">
        <w:rPr>
          <w:rFonts w:ascii="Verdana" w:eastAsia="Arial" w:hAnsi="Verdana"/>
          <w:sz w:val="23"/>
          <w:szCs w:val="23"/>
        </w:rPr>
        <w:t xml:space="preserve">ocho </w:t>
      </w:r>
      <w:r w:rsidR="00014E17" w:rsidRPr="009E4D5F">
        <w:rPr>
          <w:rFonts w:ascii="Verdana" w:eastAsia="Arial" w:hAnsi="Verdana"/>
          <w:sz w:val="23"/>
          <w:szCs w:val="23"/>
        </w:rPr>
        <w:t>siguiente</w:t>
      </w:r>
      <w:r w:rsidRPr="009E4D5F">
        <w:rPr>
          <w:rFonts w:ascii="Verdana" w:eastAsia="Arial" w:hAnsi="Verdana"/>
          <w:sz w:val="23"/>
          <w:szCs w:val="23"/>
        </w:rPr>
        <w:t>, se reencauzó el medio de impugnación a Recurso de Apelación, registrándose en el libro de gobierno con el número de expediente TEEA-RAP-002/2023</w:t>
      </w:r>
      <w:r w:rsidR="00014E17" w:rsidRPr="009E4D5F">
        <w:rPr>
          <w:rFonts w:ascii="Verdana" w:eastAsia="Arial" w:hAnsi="Verdana"/>
          <w:sz w:val="23"/>
          <w:szCs w:val="23"/>
        </w:rPr>
        <w:t>.</w:t>
      </w:r>
      <w:r w:rsidR="00887942" w:rsidRPr="009E4D5F">
        <w:rPr>
          <w:rStyle w:val="Refdenotaalpie"/>
          <w:rFonts w:ascii="Verdana" w:eastAsia="Arial" w:hAnsi="Verdana"/>
          <w:sz w:val="23"/>
          <w:szCs w:val="23"/>
        </w:rPr>
        <w:footnoteReference w:id="8"/>
      </w:r>
      <w:r w:rsidRPr="009E4D5F">
        <w:rPr>
          <w:rFonts w:ascii="Verdana" w:eastAsia="Arial" w:hAnsi="Verdana"/>
          <w:sz w:val="23"/>
          <w:szCs w:val="23"/>
        </w:rPr>
        <w:t xml:space="preserve"> </w:t>
      </w:r>
    </w:p>
    <w:p w14:paraId="391CFD77" w14:textId="41B1307B" w:rsidR="00004191" w:rsidRPr="009E4D5F" w:rsidRDefault="00014E17" w:rsidP="00A618EE">
      <w:pPr>
        <w:spacing w:before="100" w:beforeAutospacing="1" w:after="100" w:afterAutospacing="1" w:line="360" w:lineRule="auto"/>
        <w:jc w:val="both"/>
        <w:rPr>
          <w:rFonts w:ascii="Verdana" w:eastAsia="Arial" w:hAnsi="Verdana"/>
          <w:sz w:val="23"/>
          <w:szCs w:val="23"/>
        </w:rPr>
      </w:pPr>
      <w:r w:rsidRPr="009E4D5F">
        <w:rPr>
          <w:rFonts w:ascii="Verdana" w:eastAsia="Arial" w:hAnsi="Verdana"/>
          <w:b/>
          <w:bCs/>
          <w:sz w:val="23"/>
          <w:szCs w:val="23"/>
        </w:rPr>
        <w:t>9</w:t>
      </w:r>
      <w:r w:rsidR="00004191" w:rsidRPr="009E4D5F">
        <w:rPr>
          <w:rFonts w:ascii="Verdana" w:eastAsia="Arial" w:hAnsi="Verdana"/>
          <w:b/>
          <w:bCs/>
          <w:sz w:val="23"/>
          <w:szCs w:val="23"/>
        </w:rPr>
        <w:t>.</w:t>
      </w:r>
      <w:r w:rsidR="00004191" w:rsidRPr="009E4D5F">
        <w:rPr>
          <w:rFonts w:ascii="Verdana" w:eastAsia="Arial" w:hAnsi="Verdana"/>
          <w:sz w:val="23"/>
          <w:szCs w:val="23"/>
        </w:rPr>
        <w:t xml:space="preserve"> Inconforme</w:t>
      </w:r>
      <w:r w:rsidRPr="009E4D5F">
        <w:rPr>
          <w:rFonts w:ascii="Verdana" w:eastAsia="Arial" w:hAnsi="Verdana"/>
          <w:sz w:val="23"/>
          <w:szCs w:val="23"/>
        </w:rPr>
        <w:t xml:space="preserve">s en contra de la sentencia dictada por este </w:t>
      </w:r>
      <w:r w:rsidRPr="009E4D5F">
        <w:rPr>
          <w:rFonts w:ascii="Verdana" w:eastAsia="Arial" w:hAnsi="Verdana"/>
          <w:smallCaps/>
          <w:sz w:val="23"/>
          <w:szCs w:val="23"/>
        </w:rPr>
        <w:t>Tribunal Electoral</w:t>
      </w:r>
      <w:r w:rsidRPr="009E4D5F">
        <w:rPr>
          <w:rFonts w:ascii="Verdana" w:eastAsia="Arial" w:hAnsi="Verdana"/>
          <w:sz w:val="23"/>
          <w:szCs w:val="23"/>
        </w:rPr>
        <w:t xml:space="preserve"> en el expediente TEEA-RAP-001/2023</w:t>
      </w:r>
      <w:r w:rsidR="00004191" w:rsidRPr="009E4D5F">
        <w:rPr>
          <w:rFonts w:ascii="Verdana" w:eastAsia="Arial" w:hAnsi="Verdana"/>
          <w:sz w:val="23"/>
          <w:szCs w:val="23"/>
        </w:rPr>
        <w:t xml:space="preserve">, el partido político </w:t>
      </w:r>
      <w:r w:rsidR="00004191" w:rsidRPr="009E4D5F">
        <w:rPr>
          <w:rFonts w:ascii="Verdana" w:eastAsia="Arial" w:hAnsi="Verdana"/>
          <w:sz w:val="23"/>
          <w:szCs w:val="23"/>
        </w:rPr>
        <w:lastRenderedPageBreak/>
        <w:t xml:space="preserve">Movimiento Ciudadano y otros, </w:t>
      </w:r>
      <w:r w:rsidRPr="009E4D5F">
        <w:rPr>
          <w:rFonts w:ascii="Verdana" w:eastAsia="Arial" w:hAnsi="Verdana"/>
          <w:sz w:val="23"/>
          <w:szCs w:val="23"/>
        </w:rPr>
        <w:t xml:space="preserve">el trece y catorce de febrero, </w:t>
      </w:r>
      <w:r w:rsidR="00004191" w:rsidRPr="009E4D5F">
        <w:rPr>
          <w:rFonts w:ascii="Verdana" w:eastAsia="Arial" w:hAnsi="Verdana"/>
          <w:sz w:val="23"/>
          <w:szCs w:val="23"/>
        </w:rPr>
        <w:t>presentaron sendos Juicios de Revisión Constitucional Electoral; que fueron registrados con el número de expediente SM-JRC-3/2023 y acumulados</w:t>
      </w:r>
      <w:r w:rsidRPr="009E4D5F">
        <w:rPr>
          <w:rFonts w:ascii="Verdana" w:eastAsia="Arial" w:hAnsi="Verdana"/>
          <w:sz w:val="23"/>
          <w:szCs w:val="23"/>
        </w:rPr>
        <w:t xml:space="preserve"> por la </w:t>
      </w:r>
      <w:r w:rsidRPr="009E4D5F">
        <w:rPr>
          <w:rFonts w:ascii="Verdana" w:eastAsia="Arial" w:hAnsi="Verdana"/>
          <w:smallCaps/>
          <w:sz w:val="23"/>
          <w:szCs w:val="23"/>
        </w:rPr>
        <w:t>Sala Monterrey</w:t>
      </w:r>
      <w:r w:rsidR="00004191" w:rsidRPr="009E4D5F">
        <w:rPr>
          <w:rFonts w:ascii="Verdana" w:eastAsia="Arial" w:hAnsi="Verdana"/>
          <w:sz w:val="23"/>
          <w:szCs w:val="23"/>
        </w:rPr>
        <w:t xml:space="preserve">. </w:t>
      </w:r>
    </w:p>
    <w:p w14:paraId="28349021" w14:textId="4E9F7044" w:rsidR="00004191" w:rsidRPr="009E4D5F" w:rsidRDefault="00004191" w:rsidP="00A618EE">
      <w:pPr>
        <w:spacing w:before="100" w:beforeAutospacing="1" w:after="100" w:afterAutospacing="1" w:line="360" w:lineRule="auto"/>
        <w:jc w:val="both"/>
        <w:rPr>
          <w:rFonts w:ascii="Verdana" w:eastAsia="Arial" w:hAnsi="Verdana"/>
          <w:sz w:val="23"/>
          <w:szCs w:val="23"/>
        </w:rPr>
      </w:pPr>
      <w:r w:rsidRPr="009E4D5F">
        <w:rPr>
          <w:rFonts w:ascii="Verdana" w:eastAsia="Arial" w:hAnsi="Verdana"/>
          <w:b/>
          <w:bCs/>
          <w:sz w:val="23"/>
          <w:szCs w:val="23"/>
        </w:rPr>
        <w:t>1</w:t>
      </w:r>
      <w:r w:rsidR="00014E17" w:rsidRPr="009E4D5F">
        <w:rPr>
          <w:rFonts w:ascii="Verdana" w:eastAsia="Arial" w:hAnsi="Verdana"/>
          <w:b/>
          <w:bCs/>
          <w:sz w:val="23"/>
          <w:szCs w:val="23"/>
        </w:rPr>
        <w:t>0</w:t>
      </w:r>
      <w:r w:rsidRPr="009E4D5F">
        <w:rPr>
          <w:rFonts w:ascii="Verdana" w:eastAsia="Arial" w:hAnsi="Verdana"/>
          <w:b/>
          <w:bCs/>
          <w:sz w:val="23"/>
          <w:szCs w:val="23"/>
        </w:rPr>
        <w:t>.</w:t>
      </w:r>
      <w:r w:rsidRPr="009E4D5F">
        <w:rPr>
          <w:rFonts w:ascii="Verdana" w:eastAsia="Arial" w:hAnsi="Verdana"/>
          <w:sz w:val="23"/>
          <w:szCs w:val="23"/>
        </w:rPr>
        <w:t xml:space="preserve"> El veinte de febrero, la </w:t>
      </w:r>
      <w:r w:rsidRPr="009E4D5F">
        <w:rPr>
          <w:rFonts w:ascii="Verdana" w:eastAsia="Arial" w:hAnsi="Verdana"/>
          <w:smallCaps/>
          <w:sz w:val="23"/>
          <w:szCs w:val="23"/>
        </w:rPr>
        <w:t>Autoridad Responsable</w:t>
      </w:r>
      <w:r w:rsidRPr="009E4D5F">
        <w:rPr>
          <w:rFonts w:ascii="Verdana" w:eastAsia="Arial" w:hAnsi="Verdana"/>
          <w:sz w:val="23"/>
          <w:szCs w:val="23"/>
        </w:rPr>
        <w:t xml:space="preserve">, emitió el Acuerdo identificado con la clave CG-A-06/23, mediante el cual aprobó la distribución del financiamiento público estatal a los partidos políticos, para su gasto ordinario y actividades específicas correspondiente al ejercicio fiscal del año dos mil veintitrés, y se establecen los montos de los límites a las aportaciones de financiamiento privado de los partidos políticos, en cumplimiento a la sentencia emitida por este </w:t>
      </w:r>
      <w:r w:rsidRPr="009E4D5F">
        <w:rPr>
          <w:rFonts w:ascii="Verdana" w:eastAsia="Arial" w:hAnsi="Verdana"/>
          <w:smallCaps/>
          <w:sz w:val="23"/>
          <w:szCs w:val="23"/>
        </w:rPr>
        <w:t>Tribunal Electoral</w:t>
      </w:r>
      <w:r w:rsidRPr="009E4D5F">
        <w:rPr>
          <w:rFonts w:ascii="Verdana" w:eastAsia="Arial" w:hAnsi="Verdana"/>
          <w:sz w:val="23"/>
          <w:szCs w:val="23"/>
        </w:rPr>
        <w:t xml:space="preserve"> dentro del expediente TEEA-RAP-001/2023.</w:t>
      </w:r>
      <w:r w:rsidRPr="009E4D5F">
        <w:rPr>
          <w:rStyle w:val="Refdenotaalpie"/>
          <w:rFonts w:ascii="Verdana" w:eastAsia="Arial" w:hAnsi="Verdana"/>
          <w:sz w:val="23"/>
          <w:szCs w:val="23"/>
        </w:rPr>
        <w:footnoteReference w:id="9"/>
      </w:r>
      <w:r w:rsidRPr="009E4D5F">
        <w:rPr>
          <w:rFonts w:ascii="Verdana" w:eastAsia="Arial" w:hAnsi="Verdana"/>
          <w:sz w:val="23"/>
          <w:szCs w:val="23"/>
        </w:rPr>
        <w:t xml:space="preserve"> </w:t>
      </w:r>
    </w:p>
    <w:p w14:paraId="038A09EC" w14:textId="500D0F38" w:rsidR="00004191" w:rsidRPr="009E4D5F" w:rsidRDefault="00004191" w:rsidP="00A618EE">
      <w:pPr>
        <w:spacing w:before="100" w:beforeAutospacing="1" w:after="100" w:afterAutospacing="1" w:line="360" w:lineRule="auto"/>
        <w:jc w:val="both"/>
        <w:rPr>
          <w:rFonts w:ascii="Verdana" w:eastAsia="Arial" w:hAnsi="Verdana"/>
          <w:sz w:val="23"/>
          <w:szCs w:val="23"/>
        </w:rPr>
      </w:pPr>
      <w:r w:rsidRPr="009E4D5F">
        <w:rPr>
          <w:rFonts w:ascii="Verdana" w:eastAsia="Arial" w:hAnsi="Verdana"/>
          <w:b/>
          <w:bCs/>
          <w:sz w:val="23"/>
          <w:szCs w:val="23"/>
        </w:rPr>
        <w:t>1</w:t>
      </w:r>
      <w:r w:rsidR="00014E17" w:rsidRPr="009E4D5F">
        <w:rPr>
          <w:rFonts w:ascii="Verdana" w:eastAsia="Arial" w:hAnsi="Verdana"/>
          <w:b/>
          <w:bCs/>
          <w:sz w:val="23"/>
          <w:szCs w:val="23"/>
        </w:rPr>
        <w:t>1</w:t>
      </w:r>
      <w:r w:rsidRPr="009E4D5F">
        <w:rPr>
          <w:rFonts w:ascii="Verdana" w:eastAsia="Arial" w:hAnsi="Verdana"/>
          <w:b/>
          <w:bCs/>
          <w:sz w:val="23"/>
          <w:szCs w:val="23"/>
        </w:rPr>
        <w:t xml:space="preserve">. </w:t>
      </w:r>
      <w:r w:rsidRPr="009E4D5F">
        <w:rPr>
          <w:rFonts w:ascii="Verdana" w:eastAsia="Arial" w:hAnsi="Verdana"/>
          <w:sz w:val="23"/>
          <w:szCs w:val="23"/>
        </w:rPr>
        <w:t xml:space="preserve">El veintidós de febrero, el Pleno de este </w:t>
      </w:r>
      <w:r w:rsidRPr="009E4D5F">
        <w:rPr>
          <w:rFonts w:ascii="Verdana" w:eastAsia="Arial" w:hAnsi="Verdana"/>
          <w:smallCaps/>
          <w:sz w:val="23"/>
          <w:szCs w:val="23"/>
        </w:rPr>
        <w:t>Tribunal Electoral</w:t>
      </w:r>
      <w:r w:rsidRPr="009E4D5F">
        <w:rPr>
          <w:rFonts w:ascii="Verdana" w:eastAsia="Arial" w:hAnsi="Verdana"/>
          <w:sz w:val="23"/>
          <w:szCs w:val="23"/>
        </w:rPr>
        <w:t>, dictó Acuerdo de Cumplimiento de Sentencia dentro del expediente TEEA-RAP-001/2023.</w:t>
      </w:r>
      <w:r w:rsidR="00887942" w:rsidRPr="009E4D5F">
        <w:rPr>
          <w:rStyle w:val="Refdenotaalpie"/>
          <w:rFonts w:ascii="Verdana" w:eastAsia="Arial" w:hAnsi="Verdana"/>
          <w:sz w:val="23"/>
          <w:szCs w:val="23"/>
        </w:rPr>
        <w:footnoteReference w:id="10"/>
      </w:r>
      <w:r w:rsidRPr="009E4D5F">
        <w:rPr>
          <w:rFonts w:ascii="Verdana" w:eastAsia="Arial" w:hAnsi="Verdana"/>
          <w:sz w:val="23"/>
          <w:szCs w:val="23"/>
        </w:rPr>
        <w:t xml:space="preserve"> </w:t>
      </w:r>
    </w:p>
    <w:p w14:paraId="61AB6498" w14:textId="4ABD2DF1" w:rsidR="00004191" w:rsidRPr="009E4D5F" w:rsidRDefault="00004191" w:rsidP="00A618EE">
      <w:pPr>
        <w:spacing w:before="100" w:beforeAutospacing="1" w:after="100" w:afterAutospacing="1" w:line="360" w:lineRule="auto"/>
        <w:jc w:val="both"/>
        <w:rPr>
          <w:rFonts w:ascii="Verdana" w:eastAsia="Arial" w:hAnsi="Verdana"/>
          <w:sz w:val="23"/>
          <w:szCs w:val="23"/>
        </w:rPr>
      </w:pPr>
      <w:r w:rsidRPr="009E4D5F">
        <w:rPr>
          <w:rFonts w:ascii="Verdana" w:eastAsia="Arial" w:hAnsi="Verdana"/>
          <w:b/>
          <w:bCs/>
          <w:sz w:val="23"/>
          <w:szCs w:val="23"/>
        </w:rPr>
        <w:t>1</w:t>
      </w:r>
      <w:r w:rsidR="00014E17" w:rsidRPr="009E4D5F">
        <w:rPr>
          <w:rFonts w:ascii="Verdana" w:eastAsia="Arial" w:hAnsi="Verdana"/>
          <w:b/>
          <w:bCs/>
          <w:sz w:val="23"/>
          <w:szCs w:val="23"/>
        </w:rPr>
        <w:t>2</w:t>
      </w:r>
      <w:r w:rsidRPr="009E4D5F">
        <w:rPr>
          <w:rFonts w:ascii="Verdana" w:eastAsia="Arial" w:hAnsi="Verdana"/>
          <w:b/>
          <w:bCs/>
          <w:sz w:val="23"/>
          <w:szCs w:val="23"/>
        </w:rPr>
        <w:t>.</w:t>
      </w:r>
      <w:r w:rsidRPr="009E4D5F">
        <w:rPr>
          <w:rFonts w:ascii="Verdana" w:eastAsia="Arial" w:hAnsi="Verdana"/>
          <w:sz w:val="23"/>
          <w:szCs w:val="23"/>
        </w:rPr>
        <w:t xml:space="preserve"> El veintitrés siguiente, el Pleno de este </w:t>
      </w:r>
      <w:r w:rsidRPr="009E4D5F">
        <w:rPr>
          <w:rFonts w:ascii="Verdana" w:eastAsia="Arial" w:hAnsi="Verdana"/>
          <w:smallCaps/>
          <w:sz w:val="23"/>
          <w:szCs w:val="23"/>
        </w:rPr>
        <w:t>Tribunal Electoral</w:t>
      </w:r>
      <w:r w:rsidRPr="009E4D5F">
        <w:rPr>
          <w:rFonts w:ascii="Verdana" w:eastAsia="Arial" w:hAnsi="Verdana"/>
          <w:sz w:val="23"/>
          <w:szCs w:val="23"/>
        </w:rPr>
        <w:t xml:space="preserve">, determinó sobreseer el Recurso de Apelación TEEA-RAP-002/2023, por haberse actualizado un cambio de situación jurídica, al quedar sin materia, toda vez que la </w:t>
      </w:r>
      <w:r w:rsidRPr="009E4D5F">
        <w:rPr>
          <w:rFonts w:ascii="Verdana" w:eastAsia="Arial" w:hAnsi="Verdana"/>
          <w:smallCaps/>
          <w:sz w:val="23"/>
          <w:szCs w:val="23"/>
        </w:rPr>
        <w:t>Autoridad Responsable</w:t>
      </w:r>
      <w:r w:rsidRPr="009E4D5F">
        <w:rPr>
          <w:rFonts w:ascii="Verdana" w:eastAsia="Arial" w:hAnsi="Verdana"/>
          <w:sz w:val="23"/>
          <w:szCs w:val="23"/>
        </w:rPr>
        <w:t xml:space="preserve">, </w:t>
      </w:r>
      <w:r w:rsidRPr="009E4D5F">
        <w:rPr>
          <w:rFonts w:ascii="Verdana" w:hAnsi="Verdana"/>
          <w:bCs/>
          <w:sz w:val="23"/>
          <w:szCs w:val="23"/>
        </w:rPr>
        <w:t xml:space="preserve">en cumplimiento a la Sentencia emitida por este </w:t>
      </w:r>
      <w:r w:rsidRPr="009E4D5F">
        <w:rPr>
          <w:rFonts w:ascii="Verdana" w:hAnsi="Verdana"/>
          <w:bCs/>
          <w:smallCaps/>
          <w:sz w:val="23"/>
          <w:szCs w:val="23"/>
        </w:rPr>
        <w:t>Tribunal Electoral</w:t>
      </w:r>
      <w:r w:rsidRPr="009E4D5F">
        <w:rPr>
          <w:rFonts w:ascii="Verdana" w:hAnsi="Verdana"/>
          <w:bCs/>
          <w:sz w:val="23"/>
          <w:szCs w:val="23"/>
        </w:rPr>
        <w:t xml:space="preserve">, dentro del expediente TEEA-RAP-001/2023, emitió el Acuerdo </w:t>
      </w:r>
      <w:r w:rsidRPr="009E4D5F">
        <w:rPr>
          <w:rFonts w:ascii="Verdana" w:hAnsi="Verdana" w:cs="Arial"/>
          <w:bCs/>
          <w:sz w:val="23"/>
          <w:szCs w:val="23"/>
        </w:rPr>
        <w:t>CG-A-06/23.</w:t>
      </w:r>
      <w:r w:rsidR="00887942" w:rsidRPr="009E4D5F">
        <w:rPr>
          <w:rStyle w:val="Refdenotaalpie"/>
          <w:rFonts w:ascii="Verdana" w:hAnsi="Verdana" w:cs="Arial"/>
          <w:bCs/>
          <w:sz w:val="23"/>
          <w:szCs w:val="23"/>
        </w:rPr>
        <w:footnoteReference w:id="11"/>
      </w:r>
    </w:p>
    <w:p w14:paraId="073F0E76" w14:textId="2BB2C51D" w:rsidR="00004191" w:rsidRPr="009E4D5F" w:rsidRDefault="00004191" w:rsidP="00A618EE">
      <w:pPr>
        <w:spacing w:before="100" w:beforeAutospacing="1" w:after="100" w:afterAutospacing="1" w:line="360" w:lineRule="auto"/>
        <w:jc w:val="both"/>
        <w:rPr>
          <w:rFonts w:ascii="Verdana" w:eastAsia="Arial" w:hAnsi="Verdana"/>
          <w:bCs/>
          <w:sz w:val="23"/>
          <w:szCs w:val="23"/>
        </w:rPr>
      </w:pPr>
      <w:r w:rsidRPr="009E4D5F">
        <w:rPr>
          <w:rFonts w:ascii="Verdana" w:eastAsia="Arial" w:hAnsi="Verdana"/>
          <w:b/>
          <w:bCs/>
          <w:sz w:val="23"/>
          <w:szCs w:val="23"/>
        </w:rPr>
        <w:t>1</w:t>
      </w:r>
      <w:r w:rsidR="00014E17" w:rsidRPr="009E4D5F">
        <w:rPr>
          <w:rFonts w:ascii="Verdana" w:eastAsia="Arial" w:hAnsi="Verdana"/>
          <w:b/>
          <w:bCs/>
          <w:sz w:val="23"/>
          <w:szCs w:val="23"/>
        </w:rPr>
        <w:t>3</w:t>
      </w:r>
      <w:r w:rsidRPr="009E4D5F">
        <w:rPr>
          <w:rFonts w:ascii="Verdana" w:eastAsia="Arial" w:hAnsi="Verdana"/>
          <w:b/>
          <w:bCs/>
          <w:sz w:val="23"/>
          <w:szCs w:val="23"/>
        </w:rPr>
        <w:t>.</w:t>
      </w:r>
      <w:r w:rsidRPr="009E4D5F">
        <w:rPr>
          <w:rFonts w:ascii="Verdana" w:eastAsia="Arial" w:hAnsi="Verdana"/>
          <w:sz w:val="23"/>
          <w:szCs w:val="23"/>
        </w:rPr>
        <w:t xml:space="preserve"> El ocho de marzo, </w:t>
      </w:r>
      <w:r w:rsidRPr="009E4D5F">
        <w:rPr>
          <w:rFonts w:ascii="Verdana" w:eastAsia="Arial" w:hAnsi="Verdana"/>
          <w:bCs/>
          <w:sz w:val="23"/>
          <w:szCs w:val="23"/>
        </w:rPr>
        <w:t xml:space="preserve">la </w:t>
      </w:r>
      <w:r w:rsidRPr="009E4D5F">
        <w:rPr>
          <w:rFonts w:ascii="Verdana" w:eastAsia="Arial" w:hAnsi="Verdana"/>
          <w:bCs/>
          <w:smallCaps/>
          <w:sz w:val="23"/>
          <w:szCs w:val="23"/>
        </w:rPr>
        <w:t>Sala Monterrey</w:t>
      </w:r>
      <w:r w:rsidRPr="009E4D5F">
        <w:rPr>
          <w:rFonts w:ascii="Verdana" w:eastAsia="Arial" w:hAnsi="Verdana"/>
          <w:bCs/>
          <w:sz w:val="23"/>
          <w:szCs w:val="23"/>
        </w:rPr>
        <w:t xml:space="preserve"> dictó sentencia en el expediente </w:t>
      </w:r>
      <w:r w:rsidRPr="009E4D5F">
        <w:rPr>
          <w:rFonts w:ascii="Verdana" w:eastAsia="Arial" w:hAnsi="Verdana"/>
          <w:sz w:val="23"/>
          <w:szCs w:val="23"/>
        </w:rPr>
        <w:t>SM-JRC-3/2023 y acumulados, en la que</w:t>
      </w:r>
      <w:r w:rsidRPr="009E4D5F">
        <w:rPr>
          <w:rFonts w:ascii="Verdana" w:eastAsia="Arial" w:hAnsi="Verdana"/>
          <w:bCs/>
          <w:sz w:val="23"/>
          <w:szCs w:val="23"/>
        </w:rPr>
        <w:t xml:space="preserve"> revocó la resolución dictada por este </w:t>
      </w:r>
      <w:r w:rsidRPr="009E4D5F">
        <w:rPr>
          <w:rFonts w:ascii="Verdana" w:eastAsia="Arial" w:hAnsi="Verdana"/>
          <w:bCs/>
          <w:smallCaps/>
          <w:sz w:val="23"/>
          <w:szCs w:val="23"/>
        </w:rPr>
        <w:t>Tribunal Electoral</w:t>
      </w:r>
      <w:r w:rsidRPr="009E4D5F">
        <w:rPr>
          <w:rFonts w:ascii="Verdana" w:eastAsia="Arial" w:hAnsi="Verdana"/>
          <w:bCs/>
          <w:sz w:val="23"/>
          <w:szCs w:val="23"/>
        </w:rPr>
        <w:t xml:space="preserve"> en el expediente TEEA-RAP-001/2023 y dejó firme el </w:t>
      </w:r>
      <w:r w:rsidRPr="009E4D5F">
        <w:rPr>
          <w:rFonts w:ascii="Verdana" w:eastAsia="Arial" w:hAnsi="Verdana"/>
          <w:sz w:val="23"/>
          <w:szCs w:val="23"/>
        </w:rPr>
        <w:t xml:space="preserve">Acuerdo CG-A-01/23, mediante el cual la </w:t>
      </w:r>
      <w:r w:rsidRPr="009E4D5F">
        <w:rPr>
          <w:rFonts w:ascii="Verdana" w:eastAsia="Arial" w:hAnsi="Verdana"/>
          <w:smallCaps/>
          <w:sz w:val="23"/>
          <w:szCs w:val="23"/>
        </w:rPr>
        <w:t>Autoridad Responsable</w:t>
      </w:r>
      <w:r w:rsidRPr="009E4D5F">
        <w:rPr>
          <w:rFonts w:ascii="Verdana" w:eastAsia="Arial" w:hAnsi="Verdana"/>
          <w:bCs/>
          <w:sz w:val="23"/>
          <w:szCs w:val="23"/>
        </w:rPr>
        <w:t xml:space="preserve"> aprobó la distribución del financiamiento </w:t>
      </w:r>
      <w:r w:rsidRPr="009E4D5F">
        <w:rPr>
          <w:rFonts w:ascii="Verdana" w:eastAsia="Arial" w:hAnsi="Verdana"/>
          <w:bCs/>
          <w:sz w:val="23"/>
          <w:szCs w:val="23"/>
        </w:rPr>
        <w:lastRenderedPageBreak/>
        <w:t>público estatal a los partidos políticos, para su gasto ordinario y actividades específicas correspondiente al ejercicio fiscal del año dos mil veintitrés; y se establecieron los montos de los límites a las aportaciones de financiamiento privado de los partidos políticos.</w:t>
      </w:r>
      <w:r w:rsidR="00887942" w:rsidRPr="009E4D5F">
        <w:rPr>
          <w:rStyle w:val="Refdenotaalpie"/>
          <w:rFonts w:ascii="Verdana" w:eastAsia="Arial" w:hAnsi="Verdana"/>
          <w:bCs/>
          <w:sz w:val="23"/>
          <w:szCs w:val="23"/>
        </w:rPr>
        <w:footnoteReference w:id="12"/>
      </w:r>
    </w:p>
    <w:p w14:paraId="191A8648" w14:textId="42FBB267" w:rsidR="00004191" w:rsidRPr="009E4D5F" w:rsidRDefault="00004191" w:rsidP="00A618EE">
      <w:pPr>
        <w:spacing w:before="100" w:beforeAutospacing="1" w:after="100" w:afterAutospacing="1" w:line="360" w:lineRule="auto"/>
        <w:jc w:val="both"/>
        <w:rPr>
          <w:rFonts w:ascii="Verdana" w:eastAsia="Arial" w:hAnsi="Verdana"/>
          <w:bCs/>
          <w:sz w:val="23"/>
          <w:szCs w:val="23"/>
        </w:rPr>
      </w:pPr>
      <w:r w:rsidRPr="009E4D5F">
        <w:rPr>
          <w:rFonts w:ascii="Verdana" w:eastAsia="Arial" w:hAnsi="Verdana"/>
          <w:b/>
          <w:sz w:val="23"/>
          <w:szCs w:val="23"/>
        </w:rPr>
        <w:t>1</w:t>
      </w:r>
      <w:r w:rsidR="00014E17" w:rsidRPr="009E4D5F">
        <w:rPr>
          <w:rFonts w:ascii="Verdana" w:eastAsia="Arial" w:hAnsi="Verdana"/>
          <w:b/>
          <w:sz w:val="23"/>
          <w:szCs w:val="23"/>
        </w:rPr>
        <w:t>4</w:t>
      </w:r>
      <w:r w:rsidRPr="009E4D5F">
        <w:rPr>
          <w:rFonts w:ascii="Verdana" w:eastAsia="Arial" w:hAnsi="Verdana"/>
          <w:b/>
          <w:sz w:val="23"/>
          <w:szCs w:val="23"/>
        </w:rPr>
        <w:t>.</w:t>
      </w:r>
      <w:r w:rsidRPr="009E4D5F">
        <w:rPr>
          <w:rFonts w:ascii="Verdana" w:eastAsia="Arial" w:hAnsi="Verdana"/>
          <w:bCs/>
          <w:sz w:val="23"/>
          <w:szCs w:val="23"/>
        </w:rPr>
        <w:t xml:space="preserve"> Consecuentemente, el catorce de marzo, la </w:t>
      </w:r>
      <w:r w:rsidRPr="009E4D5F">
        <w:rPr>
          <w:rFonts w:ascii="Verdana" w:eastAsia="Arial" w:hAnsi="Verdana"/>
          <w:bCs/>
          <w:smallCaps/>
          <w:sz w:val="23"/>
          <w:szCs w:val="23"/>
        </w:rPr>
        <w:t>Parte Recurrente</w:t>
      </w:r>
      <w:r w:rsidRPr="009E4D5F">
        <w:rPr>
          <w:rFonts w:ascii="Verdana" w:eastAsia="Arial" w:hAnsi="Verdana"/>
          <w:bCs/>
          <w:sz w:val="23"/>
          <w:szCs w:val="23"/>
        </w:rPr>
        <w:t xml:space="preserve"> presentó Recurso de Apelación en contra del </w:t>
      </w:r>
      <w:r w:rsidRPr="009E4D5F">
        <w:rPr>
          <w:rFonts w:ascii="Verdana" w:eastAsia="Arial" w:hAnsi="Verdana"/>
          <w:sz w:val="23"/>
          <w:szCs w:val="23"/>
        </w:rPr>
        <w:t xml:space="preserve">Acuerdo CG-A-01/23, emitido por la </w:t>
      </w:r>
      <w:r w:rsidRPr="009E4D5F">
        <w:rPr>
          <w:rFonts w:ascii="Verdana" w:eastAsia="Arial" w:hAnsi="Verdana"/>
          <w:smallCaps/>
          <w:sz w:val="23"/>
          <w:szCs w:val="23"/>
        </w:rPr>
        <w:t>Autoridad Responsable</w:t>
      </w:r>
      <w:r w:rsidRPr="009E4D5F">
        <w:rPr>
          <w:rFonts w:ascii="Verdana" w:eastAsia="Arial" w:hAnsi="Verdana"/>
          <w:sz w:val="23"/>
          <w:szCs w:val="23"/>
        </w:rPr>
        <w:t xml:space="preserve">, mediante el cual </w:t>
      </w:r>
      <w:r w:rsidRPr="009E4D5F">
        <w:rPr>
          <w:rFonts w:ascii="Verdana" w:hAnsi="Verdana"/>
          <w:bCs/>
          <w:sz w:val="23"/>
          <w:szCs w:val="23"/>
        </w:rPr>
        <w:t>aprobó la distribución del financiamiento público estatal a los partidos políticos, para su gasto ordinario y actividades específicas correspondiente al ejercicio fiscal del año dos mil veintitrés; y se establecen los montos de los límites a las aportaciones de financiamiento privado de los partidos políticos.</w:t>
      </w:r>
    </w:p>
    <w:p w14:paraId="299E4196" w14:textId="5D6771BA" w:rsidR="00004191" w:rsidRPr="009E4D5F" w:rsidRDefault="00004191" w:rsidP="00A618EE">
      <w:pPr>
        <w:spacing w:before="100" w:beforeAutospacing="1" w:after="100" w:afterAutospacing="1" w:line="360" w:lineRule="auto"/>
        <w:jc w:val="both"/>
        <w:rPr>
          <w:rFonts w:ascii="Verdana" w:eastAsia="Arial" w:hAnsi="Verdana"/>
          <w:bCs/>
          <w:sz w:val="23"/>
          <w:szCs w:val="23"/>
        </w:rPr>
      </w:pPr>
      <w:r w:rsidRPr="009E4D5F">
        <w:rPr>
          <w:rFonts w:ascii="Verdana" w:eastAsia="Arial" w:hAnsi="Verdana" w:cs="Arial"/>
          <w:b/>
          <w:color w:val="000000"/>
          <w:sz w:val="23"/>
          <w:szCs w:val="23"/>
        </w:rPr>
        <w:t>1</w:t>
      </w:r>
      <w:r w:rsidR="00014E17" w:rsidRPr="009E4D5F">
        <w:rPr>
          <w:rFonts w:ascii="Verdana" w:eastAsia="Arial" w:hAnsi="Verdana" w:cs="Arial"/>
          <w:b/>
          <w:color w:val="000000"/>
          <w:sz w:val="23"/>
          <w:szCs w:val="23"/>
        </w:rPr>
        <w:t>5</w:t>
      </w:r>
      <w:r w:rsidRPr="009E4D5F">
        <w:rPr>
          <w:rFonts w:ascii="Verdana" w:eastAsia="Arial" w:hAnsi="Verdana" w:cs="Arial"/>
          <w:b/>
          <w:color w:val="000000"/>
          <w:sz w:val="23"/>
          <w:szCs w:val="23"/>
        </w:rPr>
        <w:t xml:space="preserve">. </w:t>
      </w:r>
      <w:r w:rsidRPr="009E4D5F">
        <w:rPr>
          <w:rFonts w:ascii="Verdana" w:eastAsia="Arial" w:hAnsi="Verdana" w:cs="Arial"/>
          <w:color w:val="000000"/>
          <w:sz w:val="23"/>
          <w:szCs w:val="23"/>
        </w:rPr>
        <w:t xml:space="preserve">El veintidós de marzo, la </w:t>
      </w:r>
      <w:r w:rsidRPr="009E4D5F">
        <w:rPr>
          <w:rFonts w:ascii="Verdana" w:eastAsia="Arial" w:hAnsi="Verdana" w:cs="Arial"/>
          <w:smallCaps/>
          <w:color w:val="000000"/>
          <w:sz w:val="23"/>
          <w:szCs w:val="23"/>
        </w:rPr>
        <w:t xml:space="preserve">Autoridad Responsable </w:t>
      </w:r>
      <w:r w:rsidRPr="009E4D5F">
        <w:rPr>
          <w:rFonts w:ascii="Verdana" w:eastAsia="Arial" w:hAnsi="Verdana" w:cs="Arial"/>
          <w:color w:val="000000"/>
          <w:sz w:val="23"/>
          <w:szCs w:val="23"/>
        </w:rPr>
        <w:t xml:space="preserve">remitió a este </w:t>
      </w:r>
      <w:r w:rsidRPr="009E4D5F">
        <w:rPr>
          <w:rFonts w:ascii="Verdana" w:eastAsia="Arial" w:hAnsi="Verdana" w:cs="Arial"/>
          <w:smallCaps/>
          <w:color w:val="000000"/>
          <w:sz w:val="23"/>
          <w:szCs w:val="23"/>
        </w:rPr>
        <w:t>Tribunal Electoral</w:t>
      </w:r>
      <w:r w:rsidRPr="009E4D5F">
        <w:rPr>
          <w:rFonts w:ascii="Verdana" w:eastAsia="Arial" w:hAnsi="Verdana" w:cs="Arial"/>
          <w:color w:val="000000"/>
          <w:sz w:val="23"/>
          <w:szCs w:val="23"/>
        </w:rPr>
        <w:t xml:space="preserve"> </w:t>
      </w:r>
      <w:r w:rsidRPr="009E4D5F">
        <w:rPr>
          <w:rFonts w:ascii="Verdana" w:eastAsia="Arial" w:hAnsi="Verdana" w:cs="Arial"/>
          <w:sz w:val="23"/>
          <w:szCs w:val="23"/>
        </w:rPr>
        <w:t>el Recurso de Apelación,</w:t>
      </w:r>
      <w:r w:rsidRPr="009E4D5F">
        <w:rPr>
          <w:rFonts w:ascii="Verdana" w:eastAsia="Arial" w:hAnsi="Verdana" w:cs="Arial"/>
          <w:color w:val="000000"/>
          <w:sz w:val="23"/>
          <w:szCs w:val="23"/>
        </w:rPr>
        <w:t xml:space="preserve"> presentado por la </w:t>
      </w:r>
      <w:r w:rsidRPr="009E4D5F">
        <w:rPr>
          <w:rFonts w:ascii="Verdana" w:hAnsi="Verdana"/>
          <w:smallCaps/>
          <w:sz w:val="23"/>
          <w:szCs w:val="23"/>
        </w:rPr>
        <w:t>Parte Recurrente,</w:t>
      </w:r>
      <w:r w:rsidRPr="009E4D5F">
        <w:rPr>
          <w:rFonts w:ascii="Verdana" w:eastAsia="Arial" w:hAnsi="Verdana" w:cs="Arial"/>
          <w:color w:val="000000"/>
          <w:sz w:val="23"/>
          <w:szCs w:val="23"/>
        </w:rPr>
        <w:t xml:space="preserve"> así como el informe circunstanciado, mismo que se registró con el número de expediente </w:t>
      </w:r>
      <w:r w:rsidRPr="009E4D5F">
        <w:rPr>
          <w:rFonts w:ascii="Verdana" w:eastAsia="Arial" w:hAnsi="Verdana" w:cs="Arial"/>
          <w:bCs/>
          <w:color w:val="000000"/>
          <w:sz w:val="23"/>
          <w:szCs w:val="23"/>
        </w:rPr>
        <w:t>TEEA-RAP-007/2023.</w:t>
      </w:r>
    </w:p>
    <w:p w14:paraId="3746F1A2" w14:textId="0ADF7AD8" w:rsidR="00004191" w:rsidRPr="009E4D5F" w:rsidRDefault="00004191" w:rsidP="00A618EE">
      <w:pPr>
        <w:spacing w:before="100" w:beforeAutospacing="1" w:after="100" w:afterAutospacing="1" w:line="360" w:lineRule="auto"/>
        <w:jc w:val="both"/>
        <w:rPr>
          <w:rFonts w:ascii="Verdana" w:eastAsia="Arial" w:hAnsi="Verdana"/>
          <w:bCs/>
          <w:sz w:val="23"/>
          <w:szCs w:val="23"/>
        </w:rPr>
      </w:pPr>
      <w:r w:rsidRPr="009E4D5F">
        <w:rPr>
          <w:rFonts w:ascii="Verdana" w:eastAsia="Arial" w:hAnsi="Verdana" w:cs="Arial"/>
          <w:b/>
          <w:bCs/>
          <w:color w:val="000000"/>
          <w:sz w:val="23"/>
          <w:szCs w:val="23"/>
        </w:rPr>
        <w:t>1</w:t>
      </w:r>
      <w:r w:rsidR="00014E17" w:rsidRPr="009E4D5F">
        <w:rPr>
          <w:rFonts w:ascii="Verdana" w:eastAsia="Arial" w:hAnsi="Verdana" w:cs="Arial"/>
          <w:b/>
          <w:bCs/>
          <w:color w:val="000000"/>
          <w:sz w:val="23"/>
          <w:szCs w:val="23"/>
        </w:rPr>
        <w:t>6</w:t>
      </w:r>
      <w:r w:rsidRPr="009E4D5F">
        <w:rPr>
          <w:rFonts w:ascii="Verdana" w:eastAsia="Arial" w:hAnsi="Verdana" w:cs="Arial"/>
          <w:b/>
          <w:bCs/>
          <w:color w:val="000000"/>
          <w:sz w:val="23"/>
          <w:szCs w:val="23"/>
        </w:rPr>
        <w:t>.</w:t>
      </w:r>
      <w:r w:rsidRPr="009E4D5F">
        <w:rPr>
          <w:rFonts w:ascii="Verdana" w:eastAsia="Arial" w:hAnsi="Verdana" w:cs="Arial"/>
          <w:b/>
          <w:color w:val="000000"/>
          <w:sz w:val="23"/>
          <w:szCs w:val="23"/>
        </w:rPr>
        <w:t xml:space="preserve"> </w:t>
      </w:r>
      <w:r w:rsidRPr="009E4D5F">
        <w:rPr>
          <w:rFonts w:ascii="Verdana" w:eastAsia="Arial" w:hAnsi="Verdana" w:cs="Arial"/>
          <w:color w:val="000000"/>
          <w:sz w:val="23"/>
          <w:szCs w:val="23"/>
        </w:rPr>
        <w:t>En esa misma fecha, se turnó el medio de impugnación en cuestión a la Ponencia de la Magistratura que preside, radicándolo el mismo día.</w:t>
      </w:r>
      <w:r w:rsidR="00887942" w:rsidRPr="009E4D5F">
        <w:rPr>
          <w:rStyle w:val="Refdenotaalpie"/>
          <w:rFonts w:ascii="Verdana" w:eastAsia="Arial" w:hAnsi="Verdana" w:cs="Arial"/>
          <w:color w:val="000000"/>
          <w:sz w:val="23"/>
          <w:szCs w:val="23"/>
        </w:rPr>
        <w:footnoteReference w:id="13"/>
      </w:r>
    </w:p>
    <w:p w14:paraId="0C846F32" w14:textId="6FD55A85" w:rsidR="009C1068" w:rsidRPr="009E4D5F" w:rsidRDefault="00B675BC" w:rsidP="00A618EE">
      <w:pPr>
        <w:spacing w:before="100" w:beforeAutospacing="1" w:after="100" w:afterAutospacing="1" w:line="360" w:lineRule="auto"/>
        <w:rPr>
          <w:rFonts w:ascii="Verdana" w:hAnsi="Verdana" w:cs="Arial"/>
          <w:sz w:val="23"/>
          <w:szCs w:val="23"/>
        </w:rPr>
      </w:pPr>
      <w:r w:rsidRPr="009E4D5F">
        <w:rPr>
          <w:rFonts w:ascii="Verdana" w:hAnsi="Verdana"/>
          <w:b/>
          <w:sz w:val="23"/>
          <w:szCs w:val="23"/>
        </w:rPr>
        <w:t xml:space="preserve">II. </w:t>
      </w:r>
      <w:r w:rsidRPr="009E4D5F">
        <w:rPr>
          <w:rFonts w:ascii="Verdana" w:hAnsi="Verdana" w:cs="Arial"/>
          <w:b/>
          <w:sz w:val="23"/>
          <w:szCs w:val="23"/>
        </w:rPr>
        <w:t>JURISDICCIÓN Y COMPETENCIA.</w:t>
      </w:r>
    </w:p>
    <w:p w14:paraId="4FAA9AAB" w14:textId="77AF0CF3" w:rsidR="009C1068" w:rsidRPr="009E4D5F" w:rsidRDefault="009C1068" w:rsidP="00A618EE">
      <w:pPr>
        <w:spacing w:before="100" w:beforeAutospacing="1" w:after="100" w:afterAutospacing="1" w:line="360" w:lineRule="auto"/>
        <w:jc w:val="both"/>
        <w:rPr>
          <w:rFonts w:ascii="Verdana" w:hAnsi="Verdana"/>
          <w:b/>
          <w:sz w:val="23"/>
          <w:szCs w:val="23"/>
        </w:rPr>
      </w:pPr>
      <w:r w:rsidRPr="009E4D5F">
        <w:rPr>
          <w:rFonts w:ascii="Verdana" w:hAnsi="Verdana" w:cs="Arial"/>
          <w:sz w:val="23"/>
          <w:szCs w:val="23"/>
        </w:rPr>
        <w:t>E</w:t>
      </w:r>
      <w:r w:rsidR="00A53DF4" w:rsidRPr="009E4D5F">
        <w:rPr>
          <w:rFonts w:ascii="Verdana" w:hAnsi="Verdana" w:cs="Arial"/>
          <w:sz w:val="23"/>
          <w:szCs w:val="23"/>
        </w:rPr>
        <w:t>ste</w:t>
      </w:r>
      <w:r w:rsidRPr="009E4D5F">
        <w:rPr>
          <w:rFonts w:ascii="Verdana" w:hAnsi="Verdana" w:cs="Arial"/>
          <w:sz w:val="23"/>
          <w:szCs w:val="23"/>
        </w:rPr>
        <w:t xml:space="preserve"> </w:t>
      </w:r>
      <w:r w:rsidRPr="009E4D5F">
        <w:rPr>
          <w:rFonts w:ascii="Verdana" w:hAnsi="Verdana" w:cs="Arial"/>
          <w:smallCaps/>
          <w:sz w:val="23"/>
          <w:szCs w:val="23"/>
        </w:rPr>
        <w:t>Tribunal</w:t>
      </w:r>
      <w:r w:rsidR="00772796" w:rsidRPr="009E4D5F">
        <w:rPr>
          <w:rFonts w:ascii="Verdana" w:hAnsi="Verdana" w:cs="Arial"/>
          <w:smallCaps/>
          <w:sz w:val="23"/>
          <w:szCs w:val="23"/>
        </w:rPr>
        <w:t xml:space="preserve"> Electoral,</w:t>
      </w:r>
      <w:r w:rsidRPr="009E4D5F">
        <w:rPr>
          <w:rFonts w:ascii="Verdana" w:hAnsi="Verdana" w:cs="Arial"/>
          <w:sz w:val="23"/>
          <w:szCs w:val="23"/>
        </w:rPr>
        <w:t xml:space="preserve"> tiene jurisdicción para resolver el presente medio de impugnación al establecerse como el órgano jurisdiccional especializado en materia electoral en el estado de Aguascalientes.</w:t>
      </w:r>
      <w:r w:rsidRPr="009E4D5F">
        <w:rPr>
          <w:rStyle w:val="Refdenotaalpie"/>
          <w:rFonts w:ascii="Verdana" w:hAnsi="Verdana" w:cs="Arial"/>
          <w:sz w:val="23"/>
          <w:szCs w:val="23"/>
        </w:rPr>
        <w:footnoteReference w:id="14"/>
      </w:r>
      <w:r w:rsidRPr="009E4D5F">
        <w:rPr>
          <w:rFonts w:ascii="Verdana" w:hAnsi="Verdana" w:cs="Arial"/>
          <w:sz w:val="23"/>
          <w:szCs w:val="23"/>
        </w:rPr>
        <w:t xml:space="preserve">  </w:t>
      </w:r>
    </w:p>
    <w:p w14:paraId="5EFC733A" w14:textId="5386F994" w:rsidR="009C1068" w:rsidRPr="009E4D5F" w:rsidRDefault="009C1068" w:rsidP="00A618EE">
      <w:pPr>
        <w:spacing w:before="100" w:beforeAutospacing="1" w:after="100" w:afterAutospacing="1" w:line="360" w:lineRule="auto"/>
        <w:jc w:val="both"/>
        <w:rPr>
          <w:rFonts w:ascii="Verdana" w:hAnsi="Verdana"/>
          <w:bCs/>
          <w:sz w:val="23"/>
          <w:szCs w:val="23"/>
        </w:rPr>
      </w:pPr>
      <w:r w:rsidRPr="009E4D5F">
        <w:rPr>
          <w:rFonts w:ascii="Verdana" w:hAnsi="Verdana" w:cs="Arial"/>
          <w:sz w:val="23"/>
          <w:szCs w:val="23"/>
        </w:rPr>
        <w:t xml:space="preserve">Además, por razón de materia y territorio, es competente para conocer del asunto por tratarse de </w:t>
      </w:r>
      <w:r w:rsidR="00330AA8" w:rsidRPr="009E4D5F">
        <w:rPr>
          <w:rFonts w:ascii="Verdana" w:hAnsi="Verdana" w:cs="Arial"/>
          <w:sz w:val="23"/>
          <w:szCs w:val="23"/>
        </w:rPr>
        <w:t xml:space="preserve">un </w:t>
      </w:r>
      <w:r w:rsidR="00765B65" w:rsidRPr="009E4D5F">
        <w:rPr>
          <w:rFonts w:ascii="Verdana" w:hAnsi="Verdana" w:cs="Arial"/>
          <w:sz w:val="23"/>
          <w:szCs w:val="23"/>
        </w:rPr>
        <w:t>Recurso de Apelación interpuesto por</w:t>
      </w:r>
      <w:r w:rsidR="00590850" w:rsidRPr="009E4D5F">
        <w:rPr>
          <w:rFonts w:ascii="Verdana" w:hAnsi="Verdana" w:cs="Arial"/>
          <w:sz w:val="23"/>
          <w:szCs w:val="23"/>
        </w:rPr>
        <w:t xml:space="preserve"> </w:t>
      </w:r>
      <w:r w:rsidR="00330AA8" w:rsidRPr="009E4D5F">
        <w:rPr>
          <w:rFonts w:ascii="Verdana" w:hAnsi="Verdana" w:cs="Arial"/>
          <w:sz w:val="23"/>
          <w:szCs w:val="23"/>
        </w:rPr>
        <w:t xml:space="preserve">un </w:t>
      </w:r>
      <w:r w:rsidR="00590850" w:rsidRPr="009E4D5F">
        <w:rPr>
          <w:rFonts w:ascii="Verdana" w:hAnsi="Verdana" w:cs="Arial"/>
          <w:sz w:val="23"/>
          <w:szCs w:val="23"/>
        </w:rPr>
        <w:t xml:space="preserve">partido político, </w:t>
      </w:r>
      <w:r w:rsidR="00330AA8" w:rsidRPr="009E4D5F">
        <w:rPr>
          <w:rFonts w:ascii="Verdana" w:hAnsi="Verdana" w:cs="Arial"/>
          <w:sz w:val="23"/>
          <w:szCs w:val="23"/>
        </w:rPr>
        <w:t>por el</w:t>
      </w:r>
      <w:r w:rsidRPr="009E4D5F">
        <w:rPr>
          <w:rFonts w:ascii="Verdana" w:hAnsi="Verdana" w:cs="Arial"/>
          <w:sz w:val="23"/>
          <w:szCs w:val="23"/>
        </w:rPr>
        <w:t xml:space="preserve"> cual se controvierte la </w:t>
      </w:r>
      <w:r w:rsidRPr="009E4D5F">
        <w:rPr>
          <w:rFonts w:ascii="Verdana" w:hAnsi="Verdana" w:cs="Arial"/>
          <w:sz w:val="23"/>
          <w:szCs w:val="23"/>
        </w:rPr>
        <w:lastRenderedPageBreak/>
        <w:t xml:space="preserve">determinación de la </w:t>
      </w:r>
      <w:r w:rsidRPr="009E4D5F">
        <w:rPr>
          <w:rFonts w:ascii="Verdana" w:hAnsi="Verdana" w:cs="Arial"/>
          <w:bCs/>
          <w:smallCaps/>
          <w:sz w:val="23"/>
          <w:szCs w:val="23"/>
        </w:rPr>
        <w:t>Autoridad Responsable</w:t>
      </w:r>
      <w:r w:rsidRPr="009E4D5F">
        <w:rPr>
          <w:rFonts w:ascii="Verdana" w:hAnsi="Verdana" w:cs="Arial"/>
          <w:bCs/>
          <w:sz w:val="23"/>
          <w:szCs w:val="23"/>
        </w:rPr>
        <w:t xml:space="preserve">, en la que </w:t>
      </w:r>
      <w:r w:rsidR="00590850" w:rsidRPr="009E4D5F">
        <w:rPr>
          <w:rFonts w:ascii="Verdana" w:hAnsi="Verdana"/>
          <w:bCs/>
          <w:sz w:val="23"/>
          <w:szCs w:val="23"/>
        </w:rPr>
        <w:t>aprobó la distribución del financiamiento público estatal a los partidos políticos, para su gasto ordinario y actividades específicas correspondiente al ejercicio fiscal del año dos mil veintitrés; y se establec</w:t>
      </w:r>
      <w:r w:rsidR="00F72FA7" w:rsidRPr="009E4D5F">
        <w:rPr>
          <w:rFonts w:ascii="Verdana" w:hAnsi="Verdana"/>
          <w:bCs/>
          <w:sz w:val="23"/>
          <w:szCs w:val="23"/>
        </w:rPr>
        <w:t>ieron</w:t>
      </w:r>
      <w:r w:rsidR="00590850" w:rsidRPr="009E4D5F">
        <w:rPr>
          <w:rFonts w:ascii="Verdana" w:hAnsi="Verdana"/>
          <w:bCs/>
          <w:sz w:val="23"/>
          <w:szCs w:val="23"/>
        </w:rPr>
        <w:t xml:space="preserve"> los montos de los límites a las aportaciones de financiamiento privado de los partidos políticos.</w:t>
      </w:r>
      <w:r w:rsidRPr="009E4D5F">
        <w:rPr>
          <w:rStyle w:val="Refdenotaalpie"/>
          <w:rFonts w:ascii="Verdana" w:hAnsi="Verdana" w:cs="Arial"/>
          <w:sz w:val="23"/>
          <w:szCs w:val="23"/>
        </w:rPr>
        <w:footnoteReference w:id="15"/>
      </w:r>
    </w:p>
    <w:p w14:paraId="51B82CB4" w14:textId="2C8721C5" w:rsidR="009C1068" w:rsidRPr="009E4D5F" w:rsidRDefault="00750F03" w:rsidP="00A618EE">
      <w:pPr>
        <w:spacing w:before="100" w:beforeAutospacing="1" w:after="100" w:afterAutospacing="1" w:line="360" w:lineRule="auto"/>
        <w:rPr>
          <w:rFonts w:ascii="Verdana" w:hAnsi="Verdana" w:cs="Arial"/>
          <w:b/>
          <w:sz w:val="23"/>
          <w:szCs w:val="23"/>
          <w:lang w:val="es-MX"/>
        </w:rPr>
      </w:pPr>
      <w:r w:rsidRPr="009E4D5F">
        <w:rPr>
          <w:rFonts w:ascii="Verdana" w:hAnsi="Verdana" w:cs="Arial"/>
          <w:b/>
          <w:sz w:val="23"/>
          <w:szCs w:val="23"/>
        </w:rPr>
        <w:t>III.</w:t>
      </w:r>
      <w:r w:rsidR="00B675BC" w:rsidRPr="009E4D5F">
        <w:rPr>
          <w:rFonts w:ascii="Verdana" w:hAnsi="Verdana" w:cs="Arial"/>
          <w:b/>
          <w:sz w:val="23"/>
          <w:szCs w:val="23"/>
        </w:rPr>
        <w:t xml:space="preserve"> </w:t>
      </w:r>
      <w:r w:rsidR="00CC6358" w:rsidRPr="009E4D5F">
        <w:rPr>
          <w:rFonts w:ascii="Verdana" w:hAnsi="Verdana" w:cs="Arial"/>
          <w:b/>
          <w:sz w:val="23"/>
          <w:szCs w:val="23"/>
        </w:rPr>
        <w:t>IMPROCEDENCIA</w:t>
      </w:r>
      <w:r w:rsidR="00B675BC" w:rsidRPr="009E4D5F">
        <w:rPr>
          <w:rFonts w:ascii="Verdana" w:hAnsi="Verdana" w:cs="Arial"/>
          <w:b/>
          <w:sz w:val="23"/>
          <w:szCs w:val="23"/>
        </w:rPr>
        <w:t>.</w:t>
      </w:r>
    </w:p>
    <w:p w14:paraId="7497B9CE" w14:textId="14DAB715" w:rsidR="00D52B20" w:rsidRPr="009E4D5F" w:rsidRDefault="00D52B20" w:rsidP="00A618EE">
      <w:pPr>
        <w:spacing w:before="100" w:beforeAutospacing="1" w:after="100" w:afterAutospacing="1" w:line="360" w:lineRule="auto"/>
        <w:jc w:val="both"/>
        <w:rPr>
          <w:rFonts w:ascii="Verdana" w:hAnsi="Verdana" w:cs="Arial"/>
          <w:bCs/>
          <w:sz w:val="23"/>
          <w:szCs w:val="23"/>
        </w:rPr>
      </w:pPr>
      <w:r w:rsidRPr="009E4D5F">
        <w:rPr>
          <w:rFonts w:ascii="Verdana" w:hAnsi="Verdana" w:cs="Arial"/>
          <w:bCs/>
          <w:sz w:val="23"/>
          <w:szCs w:val="23"/>
        </w:rPr>
        <w:t>C</w:t>
      </w:r>
      <w:r w:rsidR="00330AA8" w:rsidRPr="009E4D5F">
        <w:rPr>
          <w:rFonts w:ascii="Verdana" w:hAnsi="Verdana" w:cs="Arial"/>
          <w:bCs/>
          <w:sz w:val="23"/>
          <w:szCs w:val="23"/>
        </w:rPr>
        <w:t xml:space="preserve">on independencia de que se actualice otra causal de improcedencia, </w:t>
      </w:r>
      <w:r w:rsidRPr="009E4D5F">
        <w:rPr>
          <w:rFonts w:ascii="Verdana" w:hAnsi="Verdana" w:cs="Arial"/>
          <w:bCs/>
          <w:sz w:val="23"/>
          <w:szCs w:val="23"/>
        </w:rPr>
        <w:t xml:space="preserve">este </w:t>
      </w:r>
      <w:r w:rsidRPr="009E4D5F">
        <w:rPr>
          <w:rFonts w:ascii="Verdana" w:hAnsi="Verdana" w:cs="Arial"/>
          <w:bCs/>
          <w:smallCaps/>
          <w:sz w:val="23"/>
          <w:szCs w:val="23"/>
        </w:rPr>
        <w:t>Tribunal</w:t>
      </w:r>
      <w:r w:rsidR="00893B04" w:rsidRPr="009E4D5F">
        <w:rPr>
          <w:rFonts w:ascii="Verdana" w:hAnsi="Verdana" w:cs="Arial"/>
          <w:bCs/>
          <w:smallCaps/>
          <w:sz w:val="23"/>
          <w:szCs w:val="23"/>
        </w:rPr>
        <w:t xml:space="preserve"> Electoral</w:t>
      </w:r>
      <w:r w:rsidRPr="009E4D5F">
        <w:rPr>
          <w:rFonts w:ascii="Verdana" w:hAnsi="Verdana" w:cs="Arial"/>
          <w:bCs/>
          <w:sz w:val="23"/>
          <w:szCs w:val="23"/>
        </w:rPr>
        <w:t xml:space="preserve"> considera que, el presente medio de impugnación es notoriamente improcedente y, por ende, debe desecharse de plano, en términos de lo dispuesto del artículo 303, fracción III, del Código Electoral del Estado de Aguascalientes, pues la </w:t>
      </w:r>
      <w:r w:rsidRPr="009E4D5F">
        <w:rPr>
          <w:rFonts w:ascii="Verdana" w:hAnsi="Verdana" w:cs="Arial"/>
          <w:bCs/>
          <w:smallCaps/>
          <w:sz w:val="23"/>
          <w:szCs w:val="23"/>
        </w:rPr>
        <w:t xml:space="preserve">Parte </w:t>
      </w:r>
      <w:r w:rsidR="00893B04" w:rsidRPr="009E4D5F">
        <w:rPr>
          <w:rFonts w:ascii="Verdana" w:hAnsi="Verdana" w:cs="Arial"/>
          <w:bCs/>
          <w:smallCaps/>
          <w:sz w:val="23"/>
          <w:szCs w:val="23"/>
        </w:rPr>
        <w:t>Recurrente</w:t>
      </w:r>
      <w:r w:rsidRPr="009E4D5F">
        <w:rPr>
          <w:rFonts w:ascii="Verdana" w:hAnsi="Verdana" w:cs="Arial"/>
          <w:bCs/>
          <w:sz w:val="23"/>
          <w:szCs w:val="23"/>
        </w:rPr>
        <w:t xml:space="preserve"> ejerció previamente su derecho de acción en contra del acto reclamado</w:t>
      </w:r>
      <w:r w:rsidR="007E542B" w:rsidRPr="009E4D5F">
        <w:rPr>
          <w:rFonts w:ascii="Verdana" w:hAnsi="Verdana" w:cs="Arial"/>
          <w:bCs/>
          <w:sz w:val="23"/>
          <w:szCs w:val="23"/>
        </w:rPr>
        <w:t>,</w:t>
      </w:r>
      <w:r w:rsidRPr="009E4D5F">
        <w:rPr>
          <w:rFonts w:ascii="Verdana" w:hAnsi="Verdana" w:cs="Arial"/>
          <w:bCs/>
          <w:sz w:val="23"/>
          <w:szCs w:val="23"/>
        </w:rPr>
        <w:t xml:space="preserve"> en el</w:t>
      </w:r>
      <w:r w:rsidR="007E542B" w:rsidRPr="009E4D5F">
        <w:rPr>
          <w:rFonts w:ascii="Verdana" w:hAnsi="Verdana" w:cs="Arial"/>
          <w:bCs/>
          <w:sz w:val="23"/>
          <w:szCs w:val="23"/>
        </w:rPr>
        <w:t xml:space="preserve"> diverso</w:t>
      </w:r>
      <w:r w:rsidRPr="009E4D5F">
        <w:rPr>
          <w:rFonts w:ascii="Verdana" w:hAnsi="Verdana" w:cs="Arial"/>
          <w:bCs/>
          <w:sz w:val="23"/>
          <w:szCs w:val="23"/>
        </w:rPr>
        <w:t xml:space="preserve"> Recurso de Apelación TEEA-RAP-002/2023</w:t>
      </w:r>
      <w:r w:rsidR="00AA7643">
        <w:rPr>
          <w:rFonts w:ascii="Verdana" w:hAnsi="Verdana" w:cs="Arial"/>
          <w:bCs/>
          <w:sz w:val="23"/>
          <w:szCs w:val="23"/>
        </w:rPr>
        <w:t>;</w:t>
      </w:r>
      <w:r w:rsidR="001B533F" w:rsidRPr="009E4D5F">
        <w:rPr>
          <w:rStyle w:val="Refdenotaalpie"/>
          <w:rFonts w:ascii="Verdana" w:hAnsi="Verdana" w:cs="Arial"/>
          <w:bCs/>
          <w:sz w:val="23"/>
          <w:szCs w:val="23"/>
        </w:rPr>
        <w:footnoteReference w:id="16"/>
      </w:r>
      <w:r w:rsidR="007E542B" w:rsidRPr="009E4D5F">
        <w:rPr>
          <w:rFonts w:ascii="Verdana" w:hAnsi="Verdana" w:cs="Arial"/>
          <w:bCs/>
          <w:sz w:val="23"/>
          <w:szCs w:val="23"/>
        </w:rPr>
        <w:t xml:space="preserve"> </w:t>
      </w:r>
      <w:r w:rsidRPr="009E4D5F">
        <w:rPr>
          <w:rFonts w:ascii="Verdana" w:hAnsi="Verdana" w:cs="Arial"/>
          <w:bCs/>
          <w:sz w:val="23"/>
          <w:szCs w:val="23"/>
        </w:rPr>
        <w:t>y, por ende, agotó esta facultad procesal.</w:t>
      </w:r>
    </w:p>
    <w:p w14:paraId="02B82487" w14:textId="46BB6B61" w:rsidR="007E542B" w:rsidRPr="009E4D5F" w:rsidRDefault="007E542B" w:rsidP="00A618EE">
      <w:pPr>
        <w:spacing w:before="100" w:beforeAutospacing="1" w:after="100" w:afterAutospacing="1" w:line="360" w:lineRule="auto"/>
        <w:jc w:val="both"/>
        <w:rPr>
          <w:rFonts w:ascii="Verdana" w:hAnsi="Verdana"/>
          <w:bCs/>
          <w:sz w:val="23"/>
          <w:szCs w:val="23"/>
        </w:rPr>
      </w:pPr>
      <w:r w:rsidRPr="009E4D5F">
        <w:rPr>
          <w:rFonts w:ascii="Verdana" w:hAnsi="Verdana" w:cs="Arial"/>
          <w:bCs/>
          <w:sz w:val="23"/>
          <w:szCs w:val="23"/>
        </w:rPr>
        <w:t xml:space="preserve">La </w:t>
      </w:r>
      <w:r w:rsidR="00893B04" w:rsidRPr="009E4D5F">
        <w:rPr>
          <w:rFonts w:ascii="Verdana" w:hAnsi="Verdana" w:cs="Arial"/>
          <w:bCs/>
          <w:smallCaps/>
          <w:sz w:val="23"/>
          <w:szCs w:val="23"/>
        </w:rPr>
        <w:t>Parte Recurrente</w:t>
      </w:r>
      <w:r w:rsidRPr="009E4D5F">
        <w:rPr>
          <w:rFonts w:ascii="Verdana" w:hAnsi="Verdana" w:cs="Arial"/>
          <w:bCs/>
          <w:sz w:val="23"/>
          <w:szCs w:val="23"/>
        </w:rPr>
        <w:t xml:space="preserve">, </w:t>
      </w:r>
      <w:r w:rsidRPr="009E4D5F">
        <w:rPr>
          <w:rFonts w:ascii="Verdana" w:hAnsi="Verdana"/>
          <w:bCs/>
          <w:sz w:val="23"/>
          <w:szCs w:val="23"/>
        </w:rPr>
        <w:t xml:space="preserve">el diecisiete de enero, presentó </w:t>
      </w:r>
      <w:r w:rsidRPr="009E4D5F">
        <w:rPr>
          <w:rFonts w:ascii="Verdana" w:hAnsi="Verdana"/>
          <w:bCs/>
          <w:i/>
          <w:iCs/>
          <w:sz w:val="23"/>
          <w:szCs w:val="23"/>
        </w:rPr>
        <w:t>per saltum</w:t>
      </w:r>
      <w:r w:rsidRPr="009E4D5F">
        <w:rPr>
          <w:rFonts w:ascii="Verdana" w:hAnsi="Verdana"/>
          <w:bCs/>
          <w:sz w:val="23"/>
          <w:szCs w:val="23"/>
        </w:rPr>
        <w:t xml:space="preserve"> Juicio de Revisión Constitucional, dirigido a la </w:t>
      </w:r>
      <w:r w:rsidRPr="009E4D5F">
        <w:rPr>
          <w:rFonts w:ascii="Verdana" w:hAnsi="Verdana"/>
          <w:bCs/>
          <w:smallCaps/>
          <w:sz w:val="23"/>
          <w:szCs w:val="23"/>
        </w:rPr>
        <w:t>Sala Superior</w:t>
      </w:r>
      <w:r w:rsidRPr="009E4D5F">
        <w:rPr>
          <w:rFonts w:ascii="Verdana" w:hAnsi="Verdana"/>
          <w:bCs/>
          <w:sz w:val="23"/>
          <w:szCs w:val="23"/>
        </w:rPr>
        <w:t xml:space="preserve">, en contra del acuerdo </w:t>
      </w:r>
      <w:r w:rsidR="001E151F" w:rsidRPr="009E4D5F">
        <w:rPr>
          <w:rFonts w:ascii="Verdana" w:hAnsi="Verdana"/>
          <w:bCs/>
          <w:sz w:val="23"/>
          <w:szCs w:val="23"/>
        </w:rPr>
        <w:t>CG-A-01/23, mediante el cual aprobó la distribución del financiamiento público estatal a los partidos políticos, para su gasto ordinario y actividades específicas correspondiente al ejercicio fiscal del año dos mil veintitrés; y</w:t>
      </w:r>
      <w:r w:rsidR="001B533F" w:rsidRPr="009E4D5F">
        <w:rPr>
          <w:rFonts w:ascii="Verdana" w:hAnsi="Verdana"/>
          <w:bCs/>
          <w:sz w:val="23"/>
          <w:szCs w:val="23"/>
        </w:rPr>
        <w:t>,</w:t>
      </w:r>
      <w:r w:rsidR="001E151F" w:rsidRPr="009E4D5F">
        <w:rPr>
          <w:rFonts w:ascii="Verdana" w:hAnsi="Verdana"/>
          <w:bCs/>
          <w:sz w:val="23"/>
          <w:szCs w:val="23"/>
        </w:rPr>
        <w:t xml:space="preserve"> se establecen los montos de los límites a las aportaciones de financiamiento privado de los partidos políticos.</w:t>
      </w:r>
    </w:p>
    <w:p w14:paraId="627C8E73" w14:textId="30C01CA5" w:rsidR="00B45065" w:rsidRPr="009E4D5F" w:rsidRDefault="001E151F" w:rsidP="00A618EE">
      <w:pPr>
        <w:spacing w:before="100" w:beforeAutospacing="1" w:after="100" w:afterAutospacing="1" w:line="360" w:lineRule="auto"/>
        <w:jc w:val="both"/>
        <w:rPr>
          <w:rFonts w:ascii="Verdana" w:eastAsia="Arial" w:hAnsi="Verdana"/>
          <w:sz w:val="23"/>
          <w:szCs w:val="23"/>
        </w:rPr>
      </w:pPr>
      <w:r w:rsidRPr="009E4D5F">
        <w:rPr>
          <w:rFonts w:ascii="Verdana" w:hAnsi="Verdana"/>
          <w:bCs/>
          <w:sz w:val="23"/>
          <w:szCs w:val="23"/>
        </w:rPr>
        <w:t xml:space="preserve">Al respecto, </w:t>
      </w:r>
      <w:r w:rsidR="007E542B" w:rsidRPr="009E4D5F">
        <w:rPr>
          <w:rFonts w:ascii="Verdana" w:eastAsia="Arial" w:hAnsi="Verdana"/>
          <w:sz w:val="23"/>
          <w:szCs w:val="23"/>
        </w:rPr>
        <w:t xml:space="preserve">la </w:t>
      </w:r>
      <w:r w:rsidR="007E542B" w:rsidRPr="009E4D5F">
        <w:rPr>
          <w:rFonts w:ascii="Verdana" w:eastAsia="Arial" w:hAnsi="Verdana"/>
          <w:smallCaps/>
          <w:sz w:val="23"/>
          <w:szCs w:val="23"/>
        </w:rPr>
        <w:t>Sala Superior</w:t>
      </w:r>
      <w:r w:rsidR="007E542B" w:rsidRPr="009E4D5F">
        <w:rPr>
          <w:rFonts w:ascii="Verdana" w:eastAsia="Arial" w:hAnsi="Verdana"/>
          <w:sz w:val="23"/>
          <w:szCs w:val="23"/>
        </w:rPr>
        <w:t xml:space="preserve"> d</w:t>
      </w:r>
      <w:r w:rsidRPr="009E4D5F">
        <w:rPr>
          <w:rFonts w:ascii="Verdana" w:eastAsia="Arial" w:hAnsi="Verdana"/>
          <w:sz w:val="23"/>
          <w:szCs w:val="23"/>
        </w:rPr>
        <w:t xml:space="preserve">eterminó </w:t>
      </w:r>
      <w:r w:rsidR="007E542B" w:rsidRPr="009E4D5F">
        <w:rPr>
          <w:rFonts w:ascii="Verdana" w:eastAsia="Arial" w:hAnsi="Verdana"/>
          <w:sz w:val="23"/>
          <w:szCs w:val="23"/>
        </w:rPr>
        <w:t>que la competencia para conocer del asunto reca</w:t>
      </w:r>
      <w:r w:rsidRPr="009E4D5F">
        <w:rPr>
          <w:rFonts w:ascii="Verdana" w:eastAsia="Arial" w:hAnsi="Verdana"/>
          <w:sz w:val="23"/>
          <w:szCs w:val="23"/>
        </w:rPr>
        <w:t xml:space="preserve">ía </w:t>
      </w:r>
      <w:r w:rsidR="007E542B" w:rsidRPr="009E4D5F">
        <w:rPr>
          <w:rFonts w:ascii="Verdana" w:eastAsia="Arial" w:hAnsi="Verdana"/>
          <w:sz w:val="23"/>
          <w:szCs w:val="23"/>
        </w:rPr>
        <w:t xml:space="preserve">en la </w:t>
      </w:r>
      <w:r w:rsidR="007E542B" w:rsidRPr="009E4D5F">
        <w:rPr>
          <w:rFonts w:ascii="Verdana" w:eastAsia="Arial" w:hAnsi="Verdana"/>
          <w:smallCaps/>
          <w:sz w:val="23"/>
          <w:szCs w:val="23"/>
        </w:rPr>
        <w:t>Sala Monterrey</w:t>
      </w:r>
      <w:r w:rsidR="00AA7643">
        <w:rPr>
          <w:rFonts w:ascii="Verdana" w:eastAsia="Arial" w:hAnsi="Verdana"/>
          <w:smallCaps/>
          <w:sz w:val="23"/>
          <w:szCs w:val="23"/>
        </w:rPr>
        <w:t>;</w:t>
      </w:r>
      <w:r w:rsidR="00BE65E0" w:rsidRPr="009E4D5F">
        <w:rPr>
          <w:rStyle w:val="Refdenotaalpie"/>
          <w:rFonts w:ascii="Verdana" w:eastAsia="Arial" w:hAnsi="Verdana"/>
          <w:smallCaps/>
          <w:sz w:val="23"/>
          <w:szCs w:val="23"/>
        </w:rPr>
        <w:footnoteReference w:id="17"/>
      </w:r>
      <w:r w:rsidRPr="009E4D5F">
        <w:rPr>
          <w:rFonts w:ascii="Verdana" w:eastAsia="Arial" w:hAnsi="Verdana"/>
          <w:smallCaps/>
          <w:sz w:val="23"/>
          <w:szCs w:val="23"/>
        </w:rPr>
        <w:t xml:space="preserve"> </w:t>
      </w:r>
      <w:r w:rsidR="007E542B" w:rsidRPr="009E4D5F">
        <w:rPr>
          <w:rFonts w:ascii="Verdana" w:eastAsia="Arial" w:hAnsi="Verdana"/>
          <w:sz w:val="23"/>
          <w:szCs w:val="23"/>
        </w:rPr>
        <w:t xml:space="preserve">a su vez, </w:t>
      </w:r>
      <w:r w:rsidRPr="009E4D5F">
        <w:rPr>
          <w:rFonts w:ascii="Verdana" w:eastAsia="Arial" w:hAnsi="Verdana"/>
          <w:sz w:val="23"/>
          <w:szCs w:val="23"/>
        </w:rPr>
        <w:t>ésta</w:t>
      </w:r>
      <w:r w:rsidR="00BE65E0" w:rsidRPr="009E4D5F">
        <w:rPr>
          <w:rFonts w:ascii="Verdana" w:eastAsia="Arial" w:hAnsi="Verdana"/>
          <w:sz w:val="23"/>
          <w:szCs w:val="23"/>
        </w:rPr>
        <w:t xml:space="preserve"> última</w:t>
      </w:r>
      <w:r w:rsidRPr="009E4D5F">
        <w:rPr>
          <w:rFonts w:ascii="Verdana" w:eastAsia="Arial" w:hAnsi="Verdana"/>
          <w:sz w:val="23"/>
          <w:szCs w:val="23"/>
        </w:rPr>
        <w:t xml:space="preserve">, </w:t>
      </w:r>
      <w:r w:rsidR="007E542B" w:rsidRPr="009E4D5F">
        <w:rPr>
          <w:rFonts w:ascii="Verdana" w:eastAsia="Arial" w:hAnsi="Verdana"/>
          <w:sz w:val="23"/>
          <w:szCs w:val="23"/>
        </w:rPr>
        <w:t xml:space="preserve">reencauzó a este </w:t>
      </w:r>
      <w:r w:rsidR="007E542B" w:rsidRPr="009E4D5F">
        <w:rPr>
          <w:rFonts w:ascii="Verdana" w:eastAsia="Arial" w:hAnsi="Verdana"/>
          <w:smallCaps/>
          <w:sz w:val="23"/>
          <w:szCs w:val="23"/>
        </w:rPr>
        <w:t>Tribunal Electoral</w:t>
      </w:r>
      <w:r w:rsidR="007E542B" w:rsidRPr="009E4D5F">
        <w:rPr>
          <w:rFonts w:ascii="Verdana" w:eastAsia="Arial" w:hAnsi="Verdana"/>
          <w:sz w:val="23"/>
          <w:szCs w:val="23"/>
        </w:rPr>
        <w:t xml:space="preserve"> el medio de impugnación</w:t>
      </w:r>
      <w:r w:rsidR="00AA7643">
        <w:rPr>
          <w:rFonts w:ascii="Verdana" w:eastAsia="Arial" w:hAnsi="Verdana"/>
          <w:sz w:val="23"/>
          <w:szCs w:val="23"/>
        </w:rPr>
        <w:t>,</w:t>
      </w:r>
      <w:r w:rsidR="00BE65E0" w:rsidRPr="009E4D5F">
        <w:rPr>
          <w:rStyle w:val="Refdenotaalpie"/>
          <w:rFonts w:ascii="Verdana" w:eastAsia="Arial" w:hAnsi="Verdana"/>
          <w:sz w:val="23"/>
          <w:szCs w:val="23"/>
        </w:rPr>
        <w:footnoteReference w:id="18"/>
      </w:r>
      <w:r w:rsidR="001B533F" w:rsidRPr="009E4D5F">
        <w:rPr>
          <w:rFonts w:ascii="Verdana" w:eastAsia="Arial" w:hAnsi="Verdana"/>
          <w:sz w:val="23"/>
          <w:szCs w:val="23"/>
        </w:rPr>
        <w:t xml:space="preserve"> </w:t>
      </w:r>
      <w:r w:rsidR="00B14CB4" w:rsidRPr="009E4D5F">
        <w:rPr>
          <w:rFonts w:ascii="Verdana" w:eastAsia="Arial" w:hAnsi="Verdana"/>
          <w:sz w:val="23"/>
          <w:szCs w:val="23"/>
        </w:rPr>
        <w:t xml:space="preserve">situación </w:t>
      </w:r>
      <w:r w:rsidR="00B45065" w:rsidRPr="009E4D5F">
        <w:rPr>
          <w:rFonts w:ascii="Verdana" w:eastAsia="Arial" w:hAnsi="Verdana"/>
          <w:sz w:val="23"/>
          <w:szCs w:val="23"/>
        </w:rPr>
        <w:t xml:space="preserve">que derivó que haya sido </w:t>
      </w:r>
      <w:r w:rsidR="001B533F" w:rsidRPr="009E4D5F">
        <w:rPr>
          <w:rFonts w:ascii="Verdana" w:eastAsia="Arial" w:hAnsi="Verdana"/>
          <w:sz w:val="23"/>
          <w:szCs w:val="23"/>
        </w:rPr>
        <w:t xml:space="preserve">recibido </w:t>
      </w:r>
      <w:r w:rsidR="00B45065" w:rsidRPr="009E4D5F">
        <w:rPr>
          <w:rFonts w:ascii="Verdana" w:eastAsia="Arial" w:hAnsi="Verdana"/>
          <w:sz w:val="23"/>
          <w:szCs w:val="23"/>
        </w:rPr>
        <w:t xml:space="preserve">hasta </w:t>
      </w:r>
      <w:r w:rsidR="001B533F" w:rsidRPr="009E4D5F">
        <w:rPr>
          <w:rFonts w:ascii="Verdana" w:eastAsia="Arial" w:hAnsi="Verdana"/>
          <w:sz w:val="23"/>
          <w:szCs w:val="23"/>
        </w:rPr>
        <w:t>el siete de febrero</w:t>
      </w:r>
      <w:r w:rsidR="00B45065" w:rsidRPr="009E4D5F">
        <w:rPr>
          <w:rFonts w:ascii="Verdana" w:eastAsia="Arial" w:hAnsi="Verdana"/>
          <w:sz w:val="23"/>
          <w:szCs w:val="23"/>
        </w:rPr>
        <w:t xml:space="preserve">, cuando este </w:t>
      </w:r>
      <w:r w:rsidR="00B45065" w:rsidRPr="009E4D5F">
        <w:rPr>
          <w:rFonts w:ascii="Verdana" w:eastAsia="Arial" w:hAnsi="Verdana"/>
          <w:smallCaps/>
          <w:sz w:val="23"/>
          <w:szCs w:val="23"/>
        </w:rPr>
        <w:t>Tribunal Electoral</w:t>
      </w:r>
      <w:r w:rsidR="00B45065" w:rsidRPr="009E4D5F">
        <w:rPr>
          <w:rFonts w:ascii="Verdana" w:eastAsia="Arial" w:hAnsi="Verdana"/>
          <w:sz w:val="23"/>
          <w:szCs w:val="23"/>
        </w:rPr>
        <w:t xml:space="preserve"> dictó sentencia en el </w:t>
      </w:r>
      <w:r w:rsidR="00B45065" w:rsidRPr="009E4D5F">
        <w:rPr>
          <w:rFonts w:ascii="Verdana" w:eastAsia="Arial" w:hAnsi="Verdana"/>
          <w:sz w:val="23"/>
          <w:szCs w:val="23"/>
        </w:rPr>
        <w:lastRenderedPageBreak/>
        <w:t>diverso Recurso de Apelación identificado con la clave TEEA-RAP-001/2023, en la que revocó el Acuerdo CG-A-01/23.</w:t>
      </w:r>
    </w:p>
    <w:p w14:paraId="6212B279" w14:textId="5E346F45" w:rsidR="003600C8" w:rsidRPr="009E4D5F" w:rsidRDefault="00B45065" w:rsidP="00A618EE">
      <w:pPr>
        <w:spacing w:before="100" w:beforeAutospacing="1" w:after="100" w:afterAutospacing="1" w:line="360" w:lineRule="auto"/>
        <w:jc w:val="both"/>
        <w:rPr>
          <w:rFonts w:ascii="Verdana" w:hAnsi="Verdana" w:cs="Arial"/>
          <w:bCs/>
          <w:sz w:val="23"/>
          <w:szCs w:val="23"/>
        </w:rPr>
      </w:pPr>
      <w:r w:rsidRPr="009E4D5F">
        <w:rPr>
          <w:rFonts w:ascii="Verdana" w:eastAsia="Arial" w:hAnsi="Verdana"/>
          <w:sz w:val="23"/>
          <w:szCs w:val="23"/>
        </w:rPr>
        <w:t>Consecuentemente, e</w:t>
      </w:r>
      <w:r w:rsidR="007E542B" w:rsidRPr="009E4D5F">
        <w:rPr>
          <w:rFonts w:ascii="Verdana" w:eastAsia="Arial" w:hAnsi="Verdana"/>
          <w:sz w:val="23"/>
          <w:szCs w:val="23"/>
        </w:rPr>
        <w:t xml:space="preserve">l veintitrés </w:t>
      </w:r>
      <w:r w:rsidR="001E151F" w:rsidRPr="009E4D5F">
        <w:rPr>
          <w:rFonts w:ascii="Verdana" w:eastAsia="Arial" w:hAnsi="Verdana"/>
          <w:sz w:val="23"/>
          <w:szCs w:val="23"/>
        </w:rPr>
        <w:t>de febrero</w:t>
      </w:r>
      <w:r w:rsidR="007E542B" w:rsidRPr="009E4D5F">
        <w:rPr>
          <w:rFonts w:ascii="Verdana" w:eastAsia="Arial" w:hAnsi="Verdana"/>
          <w:sz w:val="23"/>
          <w:szCs w:val="23"/>
        </w:rPr>
        <w:t xml:space="preserve">, el Pleno de este </w:t>
      </w:r>
      <w:r w:rsidR="007E542B" w:rsidRPr="009E4D5F">
        <w:rPr>
          <w:rFonts w:ascii="Verdana" w:eastAsia="Arial" w:hAnsi="Verdana"/>
          <w:smallCaps/>
          <w:sz w:val="23"/>
          <w:szCs w:val="23"/>
        </w:rPr>
        <w:t>Tribunal Electoral</w:t>
      </w:r>
      <w:r w:rsidR="007E542B" w:rsidRPr="009E4D5F">
        <w:rPr>
          <w:rFonts w:ascii="Verdana" w:eastAsia="Arial" w:hAnsi="Verdana"/>
          <w:sz w:val="23"/>
          <w:szCs w:val="23"/>
        </w:rPr>
        <w:t xml:space="preserve">, determinó sobreseer el </w:t>
      </w:r>
      <w:r w:rsidR="001E151F" w:rsidRPr="009E4D5F">
        <w:rPr>
          <w:rFonts w:ascii="Verdana" w:eastAsia="Arial" w:hAnsi="Verdana"/>
          <w:sz w:val="23"/>
          <w:szCs w:val="23"/>
        </w:rPr>
        <w:t xml:space="preserve">citado </w:t>
      </w:r>
      <w:r w:rsidR="007E542B" w:rsidRPr="009E4D5F">
        <w:rPr>
          <w:rFonts w:ascii="Verdana" w:eastAsia="Arial" w:hAnsi="Verdana"/>
          <w:sz w:val="23"/>
          <w:szCs w:val="23"/>
        </w:rPr>
        <w:t>Recurso de Apelación TEEA-RAP-002/2023, por haberse actualizado un cambio de situación jurídica, al quedar sin materia</w:t>
      </w:r>
      <w:r w:rsidR="003600C8" w:rsidRPr="009E4D5F">
        <w:rPr>
          <w:rFonts w:ascii="Verdana" w:hAnsi="Verdana" w:cs="Arial"/>
          <w:bCs/>
          <w:sz w:val="23"/>
          <w:szCs w:val="23"/>
        </w:rPr>
        <w:t xml:space="preserve">; en razón de que, se generó un nuevo acuerdo </w:t>
      </w:r>
      <w:r w:rsidR="003600C8" w:rsidRPr="009E4D5F">
        <w:rPr>
          <w:rFonts w:ascii="Verdana" w:eastAsia="Arial" w:hAnsi="Verdana"/>
          <w:sz w:val="23"/>
          <w:szCs w:val="23"/>
        </w:rPr>
        <w:t>identificado con la clave CG-A-06/23, emitido en cumplimiento</w:t>
      </w:r>
      <w:r w:rsidR="00CF66A9" w:rsidRPr="009E4D5F">
        <w:rPr>
          <w:rFonts w:ascii="Verdana" w:eastAsia="Arial" w:hAnsi="Verdana"/>
          <w:sz w:val="23"/>
          <w:szCs w:val="23"/>
        </w:rPr>
        <w:t>,</w:t>
      </w:r>
      <w:r w:rsidR="003600C8" w:rsidRPr="009E4D5F">
        <w:rPr>
          <w:rStyle w:val="Refdenotaalpie"/>
          <w:rFonts w:ascii="Verdana" w:eastAsia="Arial" w:hAnsi="Verdana"/>
          <w:sz w:val="23"/>
          <w:szCs w:val="23"/>
        </w:rPr>
        <w:footnoteReference w:id="19"/>
      </w:r>
      <w:r w:rsidR="00CF66A9" w:rsidRPr="009E4D5F">
        <w:rPr>
          <w:rFonts w:ascii="Verdana" w:eastAsia="Arial" w:hAnsi="Verdana"/>
          <w:sz w:val="23"/>
          <w:szCs w:val="23"/>
        </w:rPr>
        <w:t xml:space="preserve"> </w:t>
      </w:r>
      <w:r w:rsidR="00633DA0" w:rsidRPr="009E4D5F">
        <w:rPr>
          <w:rFonts w:ascii="Verdana" w:eastAsia="Arial" w:hAnsi="Verdana"/>
          <w:sz w:val="23"/>
          <w:szCs w:val="23"/>
        </w:rPr>
        <w:t xml:space="preserve">sobreseimiento que </w:t>
      </w:r>
      <w:r w:rsidR="00CF66A9" w:rsidRPr="009E4D5F">
        <w:rPr>
          <w:rFonts w:ascii="Verdana" w:eastAsia="Arial" w:hAnsi="Verdana"/>
          <w:sz w:val="23"/>
          <w:szCs w:val="23"/>
        </w:rPr>
        <w:t>no fue recurrido por las partes y</w:t>
      </w:r>
      <w:r w:rsidR="00893B04" w:rsidRPr="009E4D5F">
        <w:rPr>
          <w:rFonts w:ascii="Verdana" w:eastAsia="Arial" w:hAnsi="Verdana"/>
          <w:sz w:val="23"/>
          <w:szCs w:val="23"/>
        </w:rPr>
        <w:t>,</w:t>
      </w:r>
      <w:r w:rsidR="00CF66A9" w:rsidRPr="009E4D5F">
        <w:rPr>
          <w:rFonts w:ascii="Verdana" w:eastAsia="Arial" w:hAnsi="Verdana"/>
          <w:sz w:val="23"/>
          <w:szCs w:val="23"/>
        </w:rPr>
        <w:t xml:space="preserve"> por </w:t>
      </w:r>
      <w:r w:rsidR="00633DA0" w:rsidRPr="009E4D5F">
        <w:rPr>
          <w:rFonts w:ascii="Verdana" w:eastAsia="Arial" w:hAnsi="Verdana"/>
          <w:sz w:val="23"/>
          <w:szCs w:val="23"/>
        </w:rPr>
        <w:t>tanto,</w:t>
      </w:r>
      <w:r w:rsidR="00CF66A9" w:rsidRPr="009E4D5F">
        <w:rPr>
          <w:rFonts w:ascii="Verdana" w:eastAsia="Arial" w:hAnsi="Verdana"/>
          <w:sz w:val="23"/>
          <w:szCs w:val="23"/>
        </w:rPr>
        <w:t xml:space="preserve"> qued</w:t>
      </w:r>
      <w:r w:rsidR="00893B04" w:rsidRPr="009E4D5F">
        <w:rPr>
          <w:rFonts w:ascii="Verdana" w:eastAsia="Arial" w:hAnsi="Verdana"/>
          <w:sz w:val="23"/>
          <w:szCs w:val="23"/>
        </w:rPr>
        <w:t>ó</w:t>
      </w:r>
      <w:r w:rsidR="00CF66A9" w:rsidRPr="009E4D5F">
        <w:rPr>
          <w:rFonts w:ascii="Verdana" w:eastAsia="Arial" w:hAnsi="Verdana"/>
          <w:sz w:val="23"/>
          <w:szCs w:val="23"/>
        </w:rPr>
        <w:t xml:space="preserve"> firme.</w:t>
      </w:r>
      <w:r w:rsidR="00CF66A9" w:rsidRPr="009E4D5F">
        <w:rPr>
          <w:rStyle w:val="Refdenotaalpie"/>
          <w:rFonts w:ascii="Verdana" w:eastAsia="Arial" w:hAnsi="Verdana"/>
          <w:sz w:val="23"/>
          <w:szCs w:val="23"/>
        </w:rPr>
        <w:footnoteReference w:id="20"/>
      </w:r>
    </w:p>
    <w:p w14:paraId="1D794C8B" w14:textId="77418297" w:rsidR="008134B2" w:rsidRPr="009E4D5F" w:rsidRDefault="003600C8" w:rsidP="00A618EE">
      <w:pPr>
        <w:spacing w:before="100" w:beforeAutospacing="1" w:after="100" w:afterAutospacing="1" w:line="360" w:lineRule="auto"/>
        <w:jc w:val="both"/>
        <w:rPr>
          <w:rFonts w:ascii="Verdana" w:eastAsia="Arial" w:hAnsi="Verdana"/>
          <w:sz w:val="23"/>
          <w:szCs w:val="23"/>
        </w:rPr>
      </w:pPr>
      <w:r w:rsidRPr="009E4D5F">
        <w:rPr>
          <w:rFonts w:ascii="Verdana" w:hAnsi="Verdana" w:cs="Arial"/>
          <w:bCs/>
          <w:sz w:val="23"/>
          <w:szCs w:val="23"/>
        </w:rPr>
        <w:t xml:space="preserve">Ahora bien, </w:t>
      </w:r>
      <w:r w:rsidR="00B45065" w:rsidRPr="009E4D5F">
        <w:rPr>
          <w:rFonts w:ascii="Verdana" w:hAnsi="Verdana" w:cs="Arial"/>
          <w:bCs/>
          <w:sz w:val="23"/>
          <w:szCs w:val="23"/>
        </w:rPr>
        <w:t xml:space="preserve">la </w:t>
      </w:r>
      <w:r w:rsidR="00F1327F" w:rsidRPr="009E4D5F">
        <w:rPr>
          <w:rFonts w:ascii="Verdana" w:hAnsi="Verdana" w:cs="Arial"/>
          <w:bCs/>
          <w:smallCaps/>
          <w:sz w:val="23"/>
          <w:szCs w:val="23"/>
        </w:rPr>
        <w:t>Parte Recurrente</w:t>
      </w:r>
      <w:r w:rsidR="00F1327F" w:rsidRPr="009E4D5F">
        <w:rPr>
          <w:rFonts w:ascii="Verdana" w:hAnsi="Verdana" w:cs="Arial"/>
          <w:bCs/>
          <w:sz w:val="23"/>
          <w:szCs w:val="23"/>
        </w:rPr>
        <w:t xml:space="preserve"> </w:t>
      </w:r>
      <w:r w:rsidR="00436FE0" w:rsidRPr="009E4D5F">
        <w:rPr>
          <w:rFonts w:ascii="Verdana" w:hAnsi="Verdana" w:cs="Arial"/>
          <w:bCs/>
          <w:sz w:val="23"/>
          <w:szCs w:val="23"/>
        </w:rPr>
        <w:t xml:space="preserve">el catorce de marzo, presentó </w:t>
      </w:r>
      <w:r w:rsidRPr="009E4D5F">
        <w:rPr>
          <w:rFonts w:ascii="Verdana" w:hAnsi="Verdana" w:cs="Arial"/>
          <w:bCs/>
          <w:sz w:val="23"/>
          <w:szCs w:val="23"/>
        </w:rPr>
        <w:t xml:space="preserve">nuevo </w:t>
      </w:r>
      <w:r w:rsidR="00436FE0" w:rsidRPr="009E4D5F">
        <w:rPr>
          <w:rFonts w:ascii="Verdana" w:hAnsi="Verdana" w:cs="Arial"/>
          <w:bCs/>
          <w:sz w:val="23"/>
          <w:szCs w:val="23"/>
        </w:rPr>
        <w:t xml:space="preserve">Recurso de Apelación en contra del mismo acuerdo CG-A-01/23, emitido por la </w:t>
      </w:r>
      <w:r w:rsidR="00436FE0" w:rsidRPr="009E4D5F">
        <w:rPr>
          <w:rFonts w:ascii="Verdana" w:hAnsi="Verdana" w:cs="Arial"/>
          <w:bCs/>
          <w:smallCaps/>
          <w:sz w:val="23"/>
          <w:szCs w:val="23"/>
        </w:rPr>
        <w:t>Autoridad Responsable</w:t>
      </w:r>
      <w:r w:rsidR="00436FE0" w:rsidRPr="009E4D5F">
        <w:rPr>
          <w:rFonts w:ascii="Verdana" w:hAnsi="Verdana" w:cs="Arial"/>
          <w:bCs/>
          <w:sz w:val="23"/>
          <w:szCs w:val="23"/>
        </w:rPr>
        <w:t xml:space="preserve">, en razón de que, a su juicio, existe una nueva vigencia, derivada de la Sentencia de fecha </w:t>
      </w:r>
      <w:r w:rsidR="00436FE0" w:rsidRPr="009E4D5F">
        <w:rPr>
          <w:rFonts w:ascii="Verdana" w:eastAsia="Arial" w:hAnsi="Verdana"/>
          <w:sz w:val="23"/>
          <w:szCs w:val="23"/>
        </w:rPr>
        <w:t xml:space="preserve">ocho de marzo, en la que </w:t>
      </w:r>
      <w:r w:rsidR="00436FE0" w:rsidRPr="009E4D5F">
        <w:rPr>
          <w:rFonts w:ascii="Verdana" w:eastAsia="Arial" w:hAnsi="Verdana"/>
          <w:bCs/>
          <w:sz w:val="23"/>
          <w:szCs w:val="23"/>
        </w:rPr>
        <w:t xml:space="preserve">la </w:t>
      </w:r>
      <w:r w:rsidR="00436FE0" w:rsidRPr="009E4D5F">
        <w:rPr>
          <w:rFonts w:ascii="Verdana" w:eastAsia="Arial" w:hAnsi="Verdana"/>
          <w:bCs/>
          <w:smallCaps/>
          <w:sz w:val="23"/>
          <w:szCs w:val="23"/>
        </w:rPr>
        <w:t>Sala Monterrey</w:t>
      </w:r>
      <w:r w:rsidR="00436FE0" w:rsidRPr="009E4D5F">
        <w:rPr>
          <w:rFonts w:ascii="Verdana" w:eastAsia="Arial" w:hAnsi="Verdana"/>
          <w:bCs/>
          <w:sz w:val="23"/>
          <w:szCs w:val="23"/>
        </w:rPr>
        <w:t xml:space="preserve"> revocó la resolución dictada por este </w:t>
      </w:r>
      <w:r w:rsidR="00436FE0" w:rsidRPr="009E4D5F">
        <w:rPr>
          <w:rFonts w:ascii="Verdana" w:eastAsia="Arial" w:hAnsi="Verdana"/>
          <w:bCs/>
          <w:smallCaps/>
          <w:sz w:val="23"/>
          <w:szCs w:val="23"/>
        </w:rPr>
        <w:t>Tribunal Electoral</w:t>
      </w:r>
      <w:r w:rsidR="00436FE0" w:rsidRPr="009E4D5F">
        <w:rPr>
          <w:rFonts w:ascii="Verdana" w:eastAsia="Arial" w:hAnsi="Verdana"/>
          <w:bCs/>
          <w:sz w:val="23"/>
          <w:szCs w:val="23"/>
        </w:rPr>
        <w:t xml:space="preserve"> en el expediente TEEA-RAP-001/2023 y dejó firme el </w:t>
      </w:r>
      <w:r w:rsidR="00436FE0" w:rsidRPr="009E4D5F">
        <w:rPr>
          <w:rFonts w:ascii="Verdana" w:eastAsia="Arial" w:hAnsi="Verdana"/>
          <w:sz w:val="23"/>
          <w:szCs w:val="23"/>
        </w:rPr>
        <w:t>Acuerdo CG-A-01/23.</w:t>
      </w:r>
    </w:p>
    <w:p w14:paraId="57F38CAD" w14:textId="51E6F929" w:rsidR="007E542B" w:rsidRPr="009E4D5F" w:rsidRDefault="009D60CC" w:rsidP="00A618EE">
      <w:pPr>
        <w:spacing w:before="100" w:beforeAutospacing="1" w:after="100" w:afterAutospacing="1" w:line="360" w:lineRule="auto"/>
        <w:jc w:val="both"/>
        <w:rPr>
          <w:rFonts w:ascii="Verdana" w:hAnsi="Verdana" w:cs="Arial"/>
          <w:bCs/>
          <w:sz w:val="23"/>
          <w:szCs w:val="23"/>
        </w:rPr>
      </w:pPr>
      <w:r w:rsidRPr="009E4D5F">
        <w:rPr>
          <w:rFonts w:ascii="Verdana" w:hAnsi="Verdana" w:cs="Arial"/>
          <w:bCs/>
          <w:sz w:val="23"/>
          <w:szCs w:val="23"/>
        </w:rPr>
        <w:t xml:space="preserve">Al respecto, </w:t>
      </w:r>
      <w:r w:rsidR="00593259" w:rsidRPr="009E4D5F">
        <w:rPr>
          <w:rFonts w:ascii="Verdana" w:hAnsi="Verdana" w:cs="Arial"/>
          <w:bCs/>
          <w:sz w:val="23"/>
          <w:szCs w:val="23"/>
        </w:rPr>
        <w:t xml:space="preserve">este </w:t>
      </w:r>
      <w:r w:rsidR="00593259" w:rsidRPr="009E4D5F">
        <w:rPr>
          <w:rFonts w:ascii="Verdana" w:hAnsi="Verdana" w:cs="Arial"/>
          <w:bCs/>
          <w:smallCaps/>
          <w:sz w:val="23"/>
          <w:szCs w:val="23"/>
        </w:rPr>
        <w:t>Tribunal Electoral</w:t>
      </w:r>
      <w:r w:rsidRPr="009E4D5F">
        <w:rPr>
          <w:rFonts w:ascii="Verdana" w:hAnsi="Verdana" w:cs="Arial"/>
          <w:bCs/>
          <w:sz w:val="23"/>
          <w:szCs w:val="23"/>
        </w:rPr>
        <w:t xml:space="preserve"> </w:t>
      </w:r>
      <w:r w:rsidR="00593259" w:rsidRPr="009E4D5F">
        <w:rPr>
          <w:rFonts w:ascii="Verdana" w:hAnsi="Verdana" w:cs="Arial"/>
          <w:bCs/>
          <w:sz w:val="23"/>
          <w:szCs w:val="23"/>
        </w:rPr>
        <w:t xml:space="preserve">considera que </w:t>
      </w:r>
      <w:r w:rsidR="007E542B" w:rsidRPr="009E4D5F">
        <w:rPr>
          <w:rFonts w:ascii="Verdana" w:hAnsi="Verdana" w:cs="Arial"/>
          <w:bCs/>
          <w:sz w:val="23"/>
          <w:szCs w:val="23"/>
        </w:rPr>
        <w:t>el derecho a la impugnación de un acto o resolución correspondiente a la materia electoral, mediante la promoción de un juicio o la interposición de un recurso, sólo se debe considerar realmente ejercido con el primer escrito que reciba la autoridad u órgano autorizado legalmente para ese efecto, que generalmente es la autoridad responsable que emitió el acto o resolución, o por la autoridad u órgano al que corresponda conocer y resolver del asunto, conforme a la normatividad aplicable, pues para el ejercicio de un derecho se requiere su puesta en actividad</w:t>
      </w:r>
      <w:r w:rsidR="00BC7C10" w:rsidRPr="009E4D5F">
        <w:rPr>
          <w:rFonts w:ascii="Verdana" w:hAnsi="Verdana" w:cs="Arial"/>
          <w:bCs/>
          <w:sz w:val="23"/>
          <w:szCs w:val="23"/>
        </w:rPr>
        <w:t>.</w:t>
      </w:r>
    </w:p>
    <w:p w14:paraId="58A66182" w14:textId="714CD579" w:rsidR="00DF4884" w:rsidRPr="009E4D5F" w:rsidRDefault="007E542B" w:rsidP="00A618EE">
      <w:pPr>
        <w:spacing w:before="100" w:beforeAutospacing="1" w:after="100" w:afterAutospacing="1" w:line="360" w:lineRule="auto"/>
        <w:jc w:val="both"/>
        <w:rPr>
          <w:rFonts w:ascii="Verdana" w:hAnsi="Verdana" w:cs="Arial"/>
          <w:bCs/>
          <w:sz w:val="23"/>
          <w:szCs w:val="23"/>
        </w:rPr>
      </w:pPr>
      <w:r w:rsidRPr="009E4D5F">
        <w:rPr>
          <w:rFonts w:ascii="Verdana" w:hAnsi="Verdana" w:cs="Arial"/>
          <w:bCs/>
          <w:sz w:val="23"/>
          <w:szCs w:val="23"/>
        </w:rPr>
        <w:lastRenderedPageBreak/>
        <w:t>Ahora bien, de la lectura de</w:t>
      </w:r>
      <w:r w:rsidR="00DF4884" w:rsidRPr="009E4D5F">
        <w:rPr>
          <w:rFonts w:ascii="Verdana" w:hAnsi="Verdana" w:cs="Arial"/>
          <w:bCs/>
          <w:sz w:val="23"/>
          <w:szCs w:val="23"/>
        </w:rPr>
        <w:t xml:space="preserve"> los sendos recursos de apelación </w:t>
      </w:r>
      <w:r w:rsidRPr="009E4D5F">
        <w:rPr>
          <w:rFonts w:ascii="Verdana" w:hAnsi="Verdana" w:cs="Arial"/>
          <w:bCs/>
          <w:sz w:val="23"/>
          <w:szCs w:val="23"/>
        </w:rPr>
        <w:t>se desprende que impugna</w:t>
      </w:r>
      <w:r w:rsidR="00DF4884" w:rsidRPr="009E4D5F">
        <w:rPr>
          <w:rFonts w:ascii="Verdana" w:hAnsi="Verdana" w:cs="Arial"/>
          <w:bCs/>
          <w:sz w:val="23"/>
          <w:szCs w:val="23"/>
        </w:rPr>
        <w:t>n</w:t>
      </w:r>
      <w:r w:rsidRPr="009E4D5F">
        <w:rPr>
          <w:rFonts w:ascii="Verdana" w:hAnsi="Verdana" w:cs="Arial"/>
          <w:bCs/>
          <w:sz w:val="23"/>
          <w:szCs w:val="23"/>
        </w:rPr>
        <w:t xml:space="preserve"> </w:t>
      </w:r>
      <w:r w:rsidR="00DF4884" w:rsidRPr="009E4D5F">
        <w:rPr>
          <w:rFonts w:ascii="Verdana" w:hAnsi="Verdana" w:cs="Arial"/>
          <w:bCs/>
          <w:sz w:val="23"/>
          <w:szCs w:val="23"/>
        </w:rPr>
        <w:t>el mismo acuerdo CG-A-01/23.</w:t>
      </w:r>
    </w:p>
    <w:p w14:paraId="0D77A61C" w14:textId="74973BA9" w:rsidR="007E542B" w:rsidRPr="009E4D5F" w:rsidRDefault="007E542B" w:rsidP="00A618EE">
      <w:pPr>
        <w:spacing w:before="100" w:beforeAutospacing="1" w:after="100" w:afterAutospacing="1" w:line="360" w:lineRule="auto"/>
        <w:jc w:val="both"/>
        <w:rPr>
          <w:rFonts w:ascii="Verdana" w:hAnsi="Verdana" w:cs="Arial"/>
          <w:bCs/>
          <w:sz w:val="23"/>
          <w:szCs w:val="23"/>
        </w:rPr>
      </w:pPr>
      <w:r w:rsidRPr="009E4D5F">
        <w:rPr>
          <w:rFonts w:ascii="Verdana" w:hAnsi="Verdana" w:cs="Arial"/>
          <w:bCs/>
          <w:sz w:val="23"/>
          <w:szCs w:val="23"/>
        </w:rPr>
        <w:t xml:space="preserve">Al respecto, la preclusión se actualiza cuando el actor después de la presentación de una demanda que da origen a un medio de impugnación electoral, intenta a través de un nuevo escrito controvertir el mismo acto reclamado, señalando la misma causa, pues se estima que </w:t>
      </w:r>
      <w:r w:rsidR="00DF4884" w:rsidRPr="009E4D5F">
        <w:rPr>
          <w:rFonts w:ascii="Verdana" w:hAnsi="Verdana" w:cs="Arial"/>
          <w:bCs/>
          <w:sz w:val="23"/>
          <w:szCs w:val="23"/>
        </w:rPr>
        <w:t xml:space="preserve">la </w:t>
      </w:r>
      <w:r w:rsidR="00B8588F" w:rsidRPr="009E4D5F">
        <w:rPr>
          <w:rFonts w:ascii="Verdana" w:hAnsi="Verdana" w:cs="Arial"/>
          <w:bCs/>
          <w:smallCaps/>
          <w:sz w:val="23"/>
          <w:szCs w:val="23"/>
        </w:rPr>
        <w:t>Parte Recurrente</w:t>
      </w:r>
      <w:r w:rsidRPr="009E4D5F">
        <w:rPr>
          <w:rFonts w:ascii="Verdana" w:hAnsi="Verdana" w:cs="Arial"/>
          <w:bCs/>
          <w:sz w:val="23"/>
          <w:szCs w:val="23"/>
        </w:rPr>
        <w:t xml:space="preserve"> con la primera demanda ha agotado su derecho de acción y, en consecuencia, se encuentra impedid</w:t>
      </w:r>
      <w:r w:rsidR="00B8588F" w:rsidRPr="009E4D5F">
        <w:rPr>
          <w:rFonts w:ascii="Verdana" w:hAnsi="Verdana" w:cs="Arial"/>
          <w:bCs/>
          <w:sz w:val="23"/>
          <w:szCs w:val="23"/>
        </w:rPr>
        <w:t>a</w:t>
      </w:r>
      <w:r w:rsidRPr="009E4D5F">
        <w:rPr>
          <w:rFonts w:ascii="Verdana" w:hAnsi="Verdana" w:cs="Arial"/>
          <w:bCs/>
          <w:sz w:val="23"/>
          <w:szCs w:val="23"/>
        </w:rPr>
        <w:t xml:space="preserve"> legalmente para promover un segundo </w:t>
      </w:r>
      <w:r w:rsidR="00DF4884" w:rsidRPr="009E4D5F">
        <w:rPr>
          <w:rFonts w:ascii="Verdana" w:hAnsi="Verdana" w:cs="Arial"/>
          <w:bCs/>
          <w:sz w:val="23"/>
          <w:szCs w:val="23"/>
        </w:rPr>
        <w:t>recurso</w:t>
      </w:r>
      <w:r w:rsidRPr="009E4D5F">
        <w:rPr>
          <w:rFonts w:ascii="Verdana" w:hAnsi="Verdana" w:cs="Arial"/>
          <w:bCs/>
          <w:sz w:val="23"/>
          <w:szCs w:val="23"/>
        </w:rPr>
        <w:t>.</w:t>
      </w:r>
    </w:p>
    <w:p w14:paraId="422C2D5B" w14:textId="4CFE101C" w:rsidR="007E542B" w:rsidRPr="009E4D5F" w:rsidRDefault="007E542B" w:rsidP="00A618EE">
      <w:pPr>
        <w:spacing w:before="100" w:beforeAutospacing="1" w:after="100" w:afterAutospacing="1" w:line="360" w:lineRule="auto"/>
        <w:jc w:val="both"/>
        <w:rPr>
          <w:rFonts w:ascii="Verdana" w:hAnsi="Verdana" w:cs="Arial"/>
          <w:bCs/>
          <w:sz w:val="23"/>
          <w:szCs w:val="23"/>
        </w:rPr>
      </w:pPr>
      <w:r w:rsidRPr="009E4D5F">
        <w:rPr>
          <w:rFonts w:ascii="Verdana" w:hAnsi="Verdana" w:cs="Arial"/>
          <w:bCs/>
          <w:sz w:val="23"/>
          <w:szCs w:val="23"/>
        </w:rPr>
        <w:t xml:space="preserve">Esto es, una vez extinguida o consumada una etapa procesal (como lo sería la presentación de la demanda primigenia) no es posible regresar a ella, </w:t>
      </w:r>
      <w:r w:rsidR="00B8588F" w:rsidRPr="009E4D5F">
        <w:rPr>
          <w:rFonts w:ascii="Verdana" w:hAnsi="Verdana" w:cs="Arial"/>
          <w:bCs/>
          <w:sz w:val="23"/>
          <w:szCs w:val="23"/>
        </w:rPr>
        <w:t>y,</w:t>
      </w:r>
      <w:r w:rsidRPr="009E4D5F">
        <w:rPr>
          <w:rFonts w:ascii="Verdana" w:hAnsi="Verdana" w:cs="Arial"/>
          <w:bCs/>
          <w:sz w:val="23"/>
          <w:szCs w:val="23"/>
        </w:rPr>
        <w:t xml:space="preserve"> </w:t>
      </w:r>
      <w:r w:rsidR="00B8588F" w:rsidRPr="009E4D5F">
        <w:rPr>
          <w:rFonts w:ascii="Verdana" w:hAnsi="Verdana" w:cs="Arial"/>
          <w:bCs/>
          <w:sz w:val="23"/>
          <w:szCs w:val="23"/>
        </w:rPr>
        <w:t xml:space="preserve">esta </w:t>
      </w:r>
      <w:r w:rsidRPr="009E4D5F">
        <w:rPr>
          <w:rFonts w:ascii="Verdana" w:hAnsi="Verdana" w:cs="Arial"/>
          <w:bCs/>
          <w:sz w:val="23"/>
          <w:szCs w:val="23"/>
        </w:rPr>
        <w:t xml:space="preserve">autoridad electoral resolutora debe estarse </w:t>
      </w:r>
      <w:r w:rsidR="00B8588F" w:rsidRPr="009E4D5F">
        <w:rPr>
          <w:rFonts w:ascii="Verdana" w:hAnsi="Verdana" w:cs="Arial"/>
          <w:bCs/>
          <w:sz w:val="23"/>
          <w:szCs w:val="23"/>
        </w:rPr>
        <w:t>a</w:t>
      </w:r>
      <w:r w:rsidRPr="009E4D5F">
        <w:rPr>
          <w:rFonts w:ascii="Verdana" w:hAnsi="Verdana" w:cs="Arial"/>
          <w:bCs/>
          <w:sz w:val="23"/>
          <w:szCs w:val="23"/>
        </w:rPr>
        <w:t xml:space="preserve"> la demanda primigenia presentada</w:t>
      </w:r>
      <w:r w:rsidR="00B8588F" w:rsidRPr="009E4D5F">
        <w:rPr>
          <w:rFonts w:ascii="Verdana" w:hAnsi="Verdana" w:cs="Arial"/>
          <w:bCs/>
          <w:sz w:val="23"/>
          <w:szCs w:val="23"/>
        </w:rPr>
        <w:t xml:space="preserve">, </w:t>
      </w:r>
      <w:r w:rsidRPr="009E4D5F">
        <w:rPr>
          <w:rFonts w:ascii="Verdana" w:hAnsi="Verdana" w:cs="Arial"/>
          <w:bCs/>
          <w:sz w:val="23"/>
          <w:szCs w:val="23"/>
        </w:rPr>
        <w:t xml:space="preserve">y desestimar cualquier acto mediante el cual, </w:t>
      </w:r>
      <w:r w:rsidR="00B8588F" w:rsidRPr="009E4D5F">
        <w:rPr>
          <w:rFonts w:ascii="Verdana" w:hAnsi="Verdana" w:cs="Arial"/>
          <w:bCs/>
          <w:sz w:val="23"/>
          <w:szCs w:val="23"/>
        </w:rPr>
        <w:t>la parte</w:t>
      </w:r>
      <w:r w:rsidRPr="009E4D5F">
        <w:rPr>
          <w:rFonts w:ascii="Verdana" w:hAnsi="Verdana" w:cs="Arial"/>
          <w:bCs/>
          <w:sz w:val="23"/>
          <w:szCs w:val="23"/>
        </w:rPr>
        <w:t xml:space="preserve"> promovente pretenda ejecutar una facultad ya agotada, como </w:t>
      </w:r>
      <w:r w:rsidR="00B8588F" w:rsidRPr="009E4D5F">
        <w:rPr>
          <w:rFonts w:ascii="Verdana" w:hAnsi="Verdana" w:cs="Arial"/>
          <w:bCs/>
          <w:sz w:val="23"/>
          <w:szCs w:val="23"/>
        </w:rPr>
        <w:t xml:space="preserve">lo </w:t>
      </w:r>
      <w:r w:rsidRPr="009E4D5F">
        <w:rPr>
          <w:rFonts w:ascii="Verdana" w:hAnsi="Verdana" w:cs="Arial"/>
          <w:bCs/>
          <w:sz w:val="23"/>
          <w:szCs w:val="23"/>
        </w:rPr>
        <w:t>es tratar de interponer</w:t>
      </w:r>
      <w:r w:rsidR="00DF4884" w:rsidRPr="009E4D5F">
        <w:rPr>
          <w:rFonts w:ascii="Verdana" w:hAnsi="Verdana" w:cs="Arial"/>
          <w:bCs/>
          <w:sz w:val="23"/>
          <w:szCs w:val="23"/>
        </w:rPr>
        <w:t xml:space="preserve"> un nuevo recurso de apelación, en contra del mismo acto.</w:t>
      </w:r>
    </w:p>
    <w:p w14:paraId="40DAA5CC" w14:textId="0A5636A5" w:rsidR="00A618EE" w:rsidRPr="009E4D5F" w:rsidRDefault="00A618EE" w:rsidP="00A618EE">
      <w:pPr>
        <w:spacing w:before="100" w:beforeAutospacing="1" w:after="100" w:afterAutospacing="1" w:line="360" w:lineRule="auto"/>
        <w:jc w:val="both"/>
        <w:rPr>
          <w:rFonts w:ascii="Verdana" w:hAnsi="Verdana" w:cstheme="minorHAnsi"/>
          <w:sz w:val="23"/>
          <w:szCs w:val="23"/>
          <w:lang w:val="es-ES_tradnl"/>
        </w:rPr>
      </w:pPr>
      <w:r w:rsidRPr="009E4D5F">
        <w:rPr>
          <w:rFonts w:ascii="Verdana" w:hAnsi="Verdana" w:cstheme="minorHAnsi"/>
          <w:sz w:val="23"/>
          <w:szCs w:val="23"/>
          <w:lang w:val="es-ES_tradnl"/>
        </w:rPr>
        <w:t>La</w:t>
      </w:r>
      <w:r w:rsidRPr="009E4D5F">
        <w:rPr>
          <w:rFonts w:ascii="Verdana" w:hAnsi="Verdana"/>
          <w:sz w:val="23"/>
          <w:szCs w:val="23"/>
        </w:rPr>
        <w:t xml:space="preserve"> </w:t>
      </w:r>
      <w:r w:rsidR="008D7AE1" w:rsidRPr="009E4D5F">
        <w:rPr>
          <w:rFonts w:ascii="Verdana" w:hAnsi="Verdana" w:cstheme="minorHAnsi"/>
          <w:sz w:val="23"/>
          <w:szCs w:val="23"/>
          <w:lang w:val="es-ES_tradnl"/>
        </w:rPr>
        <w:t>Suprema Corte de Justicia de la Nación (</w:t>
      </w:r>
      <w:r w:rsidR="008D7AE1" w:rsidRPr="009E4D5F">
        <w:rPr>
          <w:rFonts w:ascii="Verdana" w:hAnsi="Verdana" w:cstheme="minorHAnsi"/>
          <w:smallCaps/>
          <w:sz w:val="23"/>
          <w:szCs w:val="23"/>
          <w:lang w:val="es-ES_tradnl"/>
        </w:rPr>
        <w:t>Suprema Corte</w:t>
      </w:r>
      <w:r w:rsidR="008D7AE1" w:rsidRPr="009E4D5F">
        <w:rPr>
          <w:rFonts w:ascii="Verdana" w:hAnsi="Verdana" w:cstheme="minorHAnsi"/>
          <w:sz w:val="23"/>
          <w:szCs w:val="23"/>
          <w:lang w:val="es-ES_tradnl"/>
        </w:rPr>
        <w:t>),</w:t>
      </w:r>
      <w:r w:rsidRPr="009E4D5F">
        <w:rPr>
          <w:rFonts w:ascii="Verdana" w:hAnsi="Verdana" w:cstheme="minorHAnsi"/>
          <w:sz w:val="23"/>
          <w:szCs w:val="23"/>
          <w:lang w:val="es-ES_tradnl"/>
        </w:rPr>
        <w:t xml:space="preserve"> ha señalado que, la ley mexicana no deja al arbitrio de las partes elegir el momento para realizar los actos procesales que les incumben, ya que las normas que regulan el proceso no sólo previenen la forma de los actos propios del mismo, sino el momento en que deben llevarse a efecto, para su ordenado desenvolvimiento. Así vemos que este efecto producido en el proceso constituye el principio preclusivo que rige en las diferentes fases o periodos procesales</w:t>
      </w:r>
      <w:r w:rsidR="00AA7643">
        <w:rPr>
          <w:rFonts w:ascii="Verdana" w:hAnsi="Verdana" w:cstheme="minorHAnsi"/>
          <w:sz w:val="23"/>
          <w:szCs w:val="23"/>
          <w:lang w:val="es-ES_tradnl"/>
        </w:rPr>
        <w:t>.</w:t>
      </w:r>
      <w:r w:rsidRPr="009E4D5F">
        <w:rPr>
          <w:rStyle w:val="Refdenotaalpie"/>
          <w:rFonts w:ascii="Verdana" w:hAnsi="Verdana" w:cstheme="minorHAnsi"/>
          <w:sz w:val="23"/>
          <w:szCs w:val="23"/>
          <w:lang w:val="es-ES_tradnl"/>
        </w:rPr>
        <w:footnoteReference w:id="21"/>
      </w:r>
    </w:p>
    <w:p w14:paraId="15FACA1F" w14:textId="1C9D95BE" w:rsidR="00CE5A23" w:rsidRPr="009E4D5F" w:rsidRDefault="00CE5A23" w:rsidP="00A618EE">
      <w:pPr>
        <w:spacing w:before="100" w:beforeAutospacing="1" w:after="100" w:afterAutospacing="1" w:line="360" w:lineRule="auto"/>
        <w:jc w:val="both"/>
        <w:rPr>
          <w:rFonts w:ascii="Verdana" w:hAnsi="Verdana" w:cstheme="minorHAnsi"/>
          <w:sz w:val="23"/>
          <w:szCs w:val="23"/>
          <w:lang w:val="es-ES_tradnl"/>
        </w:rPr>
      </w:pPr>
      <w:r w:rsidRPr="009E4D5F">
        <w:rPr>
          <w:rFonts w:ascii="Verdana" w:hAnsi="Verdana" w:cstheme="minorHAnsi"/>
          <w:sz w:val="23"/>
          <w:szCs w:val="23"/>
          <w:lang w:val="es-ES_tradnl"/>
        </w:rPr>
        <w:t xml:space="preserve">Al respecto, la </w:t>
      </w:r>
      <w:r w:rsidRPr="009E4D5F">
        <w:rPr>
          <w:rFonts w:ascii="Verdana" w:hAnsi="Verdana" w:cstheme="minorHAnsi"/>
          <w:smallCaps/>
          <w:sz w:val="23"/>
          <w:szCs w:val="23"/>
          <w:lang w:val="es-ES_tradnl"/>
        </w:rPr>
        <w:t>Sala Superior</w:t>
      </w:r>
      <w:r w:rsidRPr="009E4D5F">
        <w:rPr>
          <w:rFonts w:ascii="Verdana" w:hAnsi="Verdana" w:cstheme="minorHAnsi"/>
          <w:sz w:val="23"/>
          <w:szCs w:val="23"/>
          <w:lang w:val="es-ES_tradnl"/>
        </w:rPr>
        <w:t xml:space="preserve">, ha considerado que, la presentación de un juicio por un sujeto legitimado supone el ejercicio real del derecho de acción, lo cual cierra la posibilidad de presentar nuevas demandas </w:t>
      </w:r>
      <w:r w:rsidRPr="009E4D5F">
        <w:rPr>
          <w:rFonts w:ascii="Verdana" w:hAnsi="Verdana" w:cstheme="minorHAnsi"/>
          <w:sz w:val="23"/>
          <w:szCs w:val="23"/>
          <w:lang w:val="es-ES_tradnl"/>
        </w:rPr>
        <w:lastRenderedPageBreak/>
        <w:t>en contra de un mismo acto, por lo que aquéllas que se presenten posteriormente deben desecharse.</w:t>
      </w:r>
      <w:r w:rsidRPr="009E4D5F">
        <w:rPr>
          <w:rFonts w:ascii="Verdana" w:hAnsi="Verdana" w:cstheme="minorHAnsi"/>
          <w:position w:val="6"/>
          <w:sz w:val="23"/>
          <w:szCs w:val="23"/>
          <w:vertAlign w:val="superscript"/>
          <w:lang w:val="es-ES_tradnl"/>
        </w:rPr>
        <w:footnoteReference w:id="22"/>
      </w:r>
    </w:p>
    <w:p w14:paraId="267EC912" w14:textId="73824402" w:rsidR="00CE5A23" w:rsidRPr="009E4D5F" w:rsidRDefault="00CE5A23" w:rsidP="00A618EE">
      <w:pPr>
        <w:spacing w:before="100" w:beforeAutospacing="1" w:after="100" w:afterAutospacing="1" w:line="360" w:lineRule="auto"/>
        <w:jc w:val="both"/>
        <w:rPr>
          <w:rFonts w:ascii="Verdana" w:hAnsi="Verdana" w:cstheme="minorHAnsi"/>
          <w:sz w:val="23"/>
          <w:szCs w:val="23"/>
          <w:lang w:val="es-ES_tradnl"/>
        </w:rPr>
      </w:pPr>
      <w:r w:rsidRPr="009E4D5F">
        <w:rPr>
          <w:rFonts w:ascii="Verdana" w:hAnsi="Verdana" w:cstheme="minorHAnsi"/>
          <w:sz w:val="23"/>
          <w:szCs w:val="23"/>
          <w:lang w:val="es-ES_tradnl"/>
        </w:rPr>
        <w:t xml:space="preserve">Lo anterior es así, atendiendo al principio procesal de preclusión, mismo que de acuerdo a la </w:t>
      </w:r>
      <w:r w:rsidRPr="009E4D5F">
        <w:rPr>
          <w:rFonts w:ascii="Verdana" w:hAnsi="Verdana" w:cstheme="minorHAnsi"/>
          <w:smallCaps/>
          <w:sz w:val="23"/>
          <w:szCs w:val="23"/>
          <w:lang w:val="es-ES_tradnl"/>
        </w:rPr>
        <w:t>Suprema Corte</w:t>
      </w:r>
      <w:r w:rsidRPr="009E4D5F">
        <w:rPr>
          <w:rFonts w:ascii="Verdana" w:hAnsi="Verdana" w:cstheme="minorHAnsi"/>
          <w:sz w:val="23"/>
          <w:szCs w:val="23"/>
          <w:lang w:val="es-ES_tradnl"/>
        </w:rPr>
        <w:t xml:space="preserve">, se funda en el hecho de que las diversas etapas procesales se desarrollan en forma sucesiva, mediante la clausura definitiva de cada una de ellas, impidiéndose el regreso a momentos procesales ya extinguidos y consumados, es decir, </w:t>
      </w:r>
      <w:proofErr w:type="gramStart"/>
      <w:r w:rsidRPr="009E4D5F">
        <w:rPr>
          <w:rFonts w:ascii="Verdana" w:hAnsi="Verdana" w:cstheme="minorHAnsi"/>
          <w:sz w:val="23"/>
          <w:szCs w:val="23"/>
          <w:lang w:val="es-ES_tradnl"/>
        </w:rPr>
        <w:t>que</w:t>
      </w:r>
      <w:proofErr w:type="gramEnd"/>
      <w:r w:rsidRPr="009E4D5F">
        <w:rPr>
          <w:rFonts w:ascii="Verdana" w:hAnsi="Verdana" w:cstheme="minorHAnsi"/>
          <w:sz w:val="23"/>
          <w:szCs w:val="23"/>
          <w:lang w:val="es-ES_tradnl"/>
        </w:rPr>
        <w:t xml:space="preserve"> en virtud del principio de preclusión, consumada o extinguida la etapa procesal para realizar determinado acto, éste ya no podrá ejecutarse nuevamente.</w:t>
      </w:r>
      <w:r w:rsidRPr="009E4D5F">
        <w:rPr>
          <w:rFonts w:ascii="Verdana" w:hAnsi="Verdana" w:cstheme="minorHAnsi"/>
          <w:position w:val="6"/>
          <w:sz w:val="23"/>
          <w:szCs w:val="23"/>
          <w:vertAlign w:val="superscript"/>
          <w:lang w:val="es-ES_tradnl"/>
        </w:rPr>
        <w:footnoteReference w:id="23"/>
      </w:r>
    </w:p>
    <w:p w14:paraId="68AA1DEF" w14:textId="662E4F77" w:rsidR="002F55F5" w:rsidRPr="009E4D5F" w:rsidRDefault="002F55F5" w:rsidP="00A618EE">
      <w:pPr>
        <w:spacing w:before="100" w:beforeAutospacing="1" w:after="100" w:afterAutospacing="1" w:line="360" w:lineRule="auto"/>
        <w:jc w:val="both"/>
        <w:rPr>
          <w:rFonts w:ascii="Verdana" w:hAnsi="Verdana" w:cstheme="minorHAnsi"/>
          <w:sz w:val="23"/>
          <w:szCs w:val="23"/>
          <w:lang w:val="es-ES_tradnl"/>
        </w:rPr>
      </w:pPr>
      <w:r w:rsidRPr="009E4D5F">
        <w:rPr>
          <w:rFonts w:ascii="Verdana" w:hAnsi="Verdana" w:cstheme="minorHAnsi"/>
          <w:sz w:val="23"/>
          <w:szCs w:val="23"/>
          <w:lang w:val="es-ES_tradnl"/>
        </w:rPr>
        <w:t xml:space="preserve">Cabe destacar que la </w:t>
      </w:r>
      <w:r w:rsidR="008D7AE1" w:rsidRPr="009E4D5F">
        <w:rPr>
          <w:rFonts w:ascii="Verdana" w:hAnsi="Verdana" w:cstheme="minorHAnsi"/>
          <w:smallCaps/>
          <w:sz w:val="23"/>
          <w:szCs w:val="23"/>
          <w:lang w:val="es-ES_tradnl"/>
        </w:rPr>
        <w:t>Suprema Corte</w:t>
      </w:r>
      <w:r w:rsidR="008D7AE1" w:rsidRPr="009E4D5F">
        <w:rPr>
          <w:rFonts w:ascii="Verdana" w:hAnsi="Verdana" w:cstheme="minorHAnsi"/>
          <w:sz w:val="23"/>
          <w:szCs w:val="23"/>
          <w:lang w:val="es-ES_tradnl"/>
        </w:rPr>
        <w:t xml:space="preserve"> </w:t>
      </w:r>
      <w:r w:rsidRPr="009E4D5F">
        <w:rPr>
          <w:rFonts w:ascii="Verdana" w:hAnsi="Verdana" w:cstheme="minorHAnsi"/>
          <w:sz w:val="23"/>
          <w:szCs w:val="23"/>
          <w:lang w:val="es-ES_tradnl"/>
        </w:rPr>
        <w:t>también ha considerado que la preclusión, da seguridad e irreversibilidad al desarrollo del proceso, lo que permite el desarrollo ordenado y expedito del asunto;</w:t>
      </w:r>
      <w:r w:rsidRPr="009E4D5F">
        <w:rPr>
          <w:rFonts w:ascii="Verdana" w:hAnsi="Verdana" w:cstheme="minorHAnsi"/>
          <w:position w:val="6"/>
          <w:sz w:val="23"/>
          <w:szCs w:val="23"/>
          <w:vertAlign w:val="superscript"/>
          <w:lang w:val="es-ES_tradnl"/>
        </w:rPr>
        <w:footnoteReference w:id="24"/>
      </w:r>
      <w:r w:rsidRPr="009E4D5F">
        <w:rPr>
          <w:rFonts w:ascii="Verdana" w:hAnsi="Verdana" w:cstheme="minorHAnsi"/>
          <w:sz w:val="23"/>
          <w:szCs w:val="23"/>
          <w:lang w:val="es-ES_tradnl"/>
        </w:rPr>
        <w:t xml:space="preserve"> asimismo, el principio en comento, impide que el sistema de administración de justicia se active injustificadamente ante la insistencia en un reclamo que ya se atendió. </w:t>
      </w:r>
    </w:p>
    <w:p w14:paraId="76713337" w14:textId="38C0E2E4" w:rsidR="00C32E6E" w:rsidRPr="009E4D5F" w:rsidRDefault="00A618EE" w:rsidP="00A618EE">
      <w:pPr>
        <w:spacing w:before="100" w:beforeAutospacing="1" w:after="100" w:afterAutospacing="1" w:line="360" w:lineRule="auto"/>
        <w:jc w:val="both"/>
        <w:rPr>
          <w:rFonts w:ascii="Verdana" w:hAnsi="Verdana" w:cstheme="minorHAnsi"/>
          <w:sz w:val="23"/>
          <w:szCs w:val="23"/>
          <w:lang w:val="es-ES_tradnl"/>
        </w:rPr>
      </w:pPr>
      <w:r w:rsidRPr="009E4D5F">
        <w:rPr>
          <w:rFonts w:ascii="Verdana" w:hAnsi="Verdana" w:cstheme="minorHAnsi"/>
          <w:sz w:val="23"/>
          <w:szCs w:val="23"/>
          <w:lang w:val="es-ES_tradnl"/>
        </w:rPr>
        <w:t>La</w:t>
      </w:r>
      <w:r w:rsidRPr="009E4D5F">
        <w:rPr>
          <w:rFonts w:ascii="Verdana" w:hAnsi="Verdana"/>
          <w:sz w:val="23"/>
          <w:szCs w:val="23"/>
        </w:rPr>
        <w:t xml:space="preserve"> </w:t>
      </w:r>
      <w:r w:rsidRPr="009E4D5F">
        <w:rPr>
          <w:rFonts w:ascii="Verdana" w:hAnsi="Verdana" w:cstheme="minorHAnsi"/>
          <w:smallCaps/>
          <w:sz w:val="23"/>
          <w:szCs w:val="23"/>
          <w:lang w:val="es-ES_tradnl"/>
        </w:rPr>
        <w:t>Suprema Corte</w:t>
      </w:r>
      <w:r w:rsidRPr="009E4D5F">
        <w:rPr>
          <w:rFonts w:ascii="Verdana" w:hAnsi="Verdana" w:cstheme="minorHAnsi"/>
          <w:sz w:val="23"/>
          <w:szCs w:val="23"/>
          <w:lang w:val="es-ES_tradnl"/>
        </w:rPr>
        <w:t>, ha considerado que l</w:t>
      </w:r>
      <w:r w:rsidR="00C32E6E" w:rsidRPr="009E4D5F">
        <w:rPr>
          <w:rFonts w:ascii="Verdana" w:hAnsi="Verdana" w:cstheme="minorHAnsi"/>
          <w:sz w:val="23"/>
          <w:szCs w:val="23"/>
          <w:lang w:val="es-ES_tradnl"/>
        </w:rPr>
        <w:t>a preclusión es una sanción que otorga seguridad al desarrollo del procedimiento, pues consiste en la consumación de una facultad procesal, al establecer un límite</w:t>
      </w:r>
      <w:r w:rsidR="0003053D" w:rsidRPr="009E4D5F">
        <w:rPr>
          <w:rFonts w:ascii="Verdana" w:hAnsi="Verdana" w:cstheme="minorHAnsi"/>
          <w:sz w:val="23"/>
          <w:szCs w:val="23"/>
          <w:lang w:val="es-ES_tradnl"/>
        </w:rPr>
        <w:t xml:space="preserve"> a la posibilidad de discusión; asimismo, </w:t>
      </w:r>
      <w:r w:rsidR="00926FFD" w:rsidRPr="009E4D5F">
        <w:rPr>
          <w:rFonts w:ascii="Verdana" w:hAnsi="Verdana" w:cstheme="minorHAnsi"/>
          <w:sz w:val="23"/>
          <w:szCs w:val="23"/>
          <w:lang w:val="es-ES_tradnl"/>
        </w:rPr>
        <w:t xml:space="preserve">señaló que, </w:t>
      </w:r>
      <w:r w:rsidR="00C32E6E" w:rsidRPr="009E4D5F">
        <w:rPr>
          <w:rFonts w:ascii="Verdana" w:hAnsi="Verdana" w:cstheme="minorHAnsi"/>
          <w:sz w:val="23"/>
          <w:szCs w:val="23"/>
          <w:lang w:val="es-ES_tradnl"/>
        </w:rPr>
        <w:t xml:space="preserve">el </w:t>
      </w:r>
      <w:proofErr w:type="spellStart"/>
      <w:r w:rsidR="00C32E6E" w:rsidRPr="009E4D5F">
        <w:rPr>
          <w:rFonts w:ascii="Verdana" w:hAnsi="Verdana" w:cstheme="minorHAnsi"/>
          <w:sz w:val="23"/>
          <w:szCs w:val="23"/>
          <w:lang w:val="es-ES_tradnl"/>
        </w:rPr>
        <w:t>desechamiento</w:t>
      </w:r>
      <w:proofErr w:type="spellEnd"/>
      <w:r w:rsidR="00C32E6E" w:rsidRPr="009E4D5F">
        <w:rPr>
          <w:rFonts w:ascii="Verdana" w:hAnsi="Verdana" w:cstheme="minorHAnsi"/>
          <w:sz w:val="23"/>
          <w:szCs w:val="23"/>
          <w:lang w:val="es-ES_tradnl"/>
        </w:rPr>
        <w:t xml:space="preserve"> de una demanda </w:t>
      </w:r>
      <w:r w:rsidR="00926FFD" w:rsidRPr="009E4D5F">
        <w:rPr>
          <w:rFonts w:ascii="Verdana" w:hAnsi="Verdana" w:cstheme="minorHAnsi"/>
          <w:sz w:val="23"/>
          <w:szCs w:val="23"/>
          <w:lang w:val="es-ES_tradnl"/>
        </w:rPr>
        <w:t xml:space="preserve">en la </w:t>
      </w:r>
      <w:r w:rsidR="00C32E6E" w:rsidRPr="009E4D5F">
        <w:rPr>
          <w:rFonts w:ascii="Verdana" w:hAnsi="Verdana" w:cstheme="minorHAnsi"/>
          <w:sz w:val="23"/>
          <w:szCs w:val="23"/>
          <w:lang w:val="es-ES_tradnl"/>
        </w:rPr>
        <w:t xml:space="preserve">que no se analizó la constitucionalidad del acto reclamado, no faculta </w:t>
      </w:r>
      <w:r w:rsidR="00926FFD" w:rsidRPr="009E4D5F">
        <w:rPr>
          <w:rFonts w:ascii="Verdana" w:hAnsi="Verdana" w:cstheme="minorHAnsi"/>
          <w:sz w:val="23"/>
          <w:szCs w:val="23"/>
          <w:lang w:val="es-ES_tradnl"/>
        </w:rPr>
        <w:t xml:space="preserve">a la </w:t>
      </w:r>
      <w:r w:rsidR="00926FFD" w:rsidRPr="009E4D5F">
        <w:rPr>
          <w:rFonts w:ascii="Verdana" w:hAnsi="Verdana" w:cstheme="minorHAnsi"/>
          <w:smallCaps/>
          <w:sz w:val="23"/>
          <w:szCs w:val="23"/>
          <w:lang w:val="es-ES_tradnl"/>
        </w:rPr>
        <w:t>Parte Recurrente</w:t>
      </w:r>
      <w:r w:rsidR="00926FFD" w:rsidRPr="009E4D5F">
        <w:rPr>
          <w:rFonts w:ascii="Verdana" w:hAnsi="Verdana" w:cstheme="minorHAnsi"/>
          <w:sz w:val="23"/>
          <w:szCs w:val="23"/>
          <w:lang w:val="es-ES_tradnl"/>
        </w:rPr>
        <w:t xml:space="preserve"> </w:t>
      </w:r>
      <w:r w:rsidR="00C32E6E" w:rsidRPr="009E4D5F">
        <w:rPr>
          <w:rFonts w:ascii="Verdana" w:hAnsi="Verdana" w:cstheme="minorHAnsi"/>
          <w:sz w:val="23"/>
          <w:szCs w:val="23"/>
          <w:lang w:val="es-ES_tradnl"/>
        </w:rPr>
        <w:t xml:space="preserve">para intentar una nueva acción contra ese mismo acto, pues de acuerdo con el principio de preclusión que rige su procedencia, ordinariamente no es posible que </w:t>
      </w:r>
      <w:r w:rsidR="0003053D" w:rsidRPr="009E4D5F">
        <w:rPr>
          <w:rFonts w:ascii="Verdana" w:hAnsi="Verdana" w:cstheme="minorHAnsi"/>
          <w:sz w:val="23"/>
          <w:szCs w:val="23"/>
          <w:lang w:val="es-ES_tradnl"/>
        </w:rPr>
        <w:lastRenderedPageBreak/>
        <w:t>se</w:t>
      </w:r>
      <w:r w:rsidR="00C32E6E" w:rsidRPr="009E4D5F">
        <w:rPr>
          <w:rFonts w:ascii="Verdana" w:hAnsi="Verdana" w:cstheme="minorHAnsi"/>
          <w:sz w:val="23"/>
          <w:szCs w:val="23"/>
          <w:lang w:val="es-ES_tradnl"/>
        </w:rPr>
        <w:t xml:space="preserve"> reclame los mismos actos de las mismas autoridades en más de un juicio.</w:t>
      </w:r>
      <w:r w:rsidR="00954D42" w:rsidRPr="009E4D5F">
        <w:rPr>
          <w:rFonts w:ascii="Verdana" w:hAnsi="Verdana" w:cstheme="minorHAnsi"/>
          <w:sz w:val="23"/>
          <w:szCs w:val="23"/>
          <w:lang w:val="es-ES_tradnl"/>
        </w:rPr>
        <w:t xml:space="preserve"> </w:t>
      </w:r>
      <w:r w:rsidR="00C32E6E" w:rsidRPr="009E4D5F">
        <w:rPr>
          <w:rFonts w:ascii="Verdana" w:hAnsi="Verdana" w:cstheme="minorHAnsi"/>
          <w:b/>
          <w:sz w:val="23"/>
          <w:szCs w:val="23"/>
          <w:u w:val="single"/>
          <w:lang w:val="es-ES_tradnl"/>
        </w:rPr>
        <w:t xml:space="preserve">De modo que, mientras subsista jurídicamente la determinación que desechó la primera demanda, es </w:t>
      </w:r>
      <w:proofErr w:type="spellStart"/>
      <w:r w:rsidR="00C32E6E" w:rsidRPr="009E4D5F">
        <w:rPr>
          <w:rFonts w:ascii="Verdana" w:hAnsi="Verdana" w:cstheme="minorHAnsi"/>
          <w:b/>
          <w:sz w:val="23"/>
          <w:szCs w:val="23"/>
          <w:u w:val="single"/>
          <w:lang w:val="es-ES_tradnl"/>
        </w:rPr>
        <w:t>inejercitable</w:t>
      </w:r>
      <w:proofErr w:type="spellEnd"/>
      <w:r w:rsidR="00C32E6E" w:rsidRPr="009E4D5F">
        <w:rPr>
          <w:rFonts w:ascii="Verdana" w:hAnsi="Verdana" w:cstheme="minorHAnsi"/>
          <w:b/>
          <w:sz w:val="23"/>
          <w:szCs w:val="23"/>
          <w:u w:val="single"/>
          <w:lang w:val="es-ES_tradnl"/>
        </w:rPr>
        <w:t xml:space="preserve"> una nueva acción contra el mismo acto</w:t>
      </w:r>
      <w:r w:rsidR="00C32E6E" w:rsidRPr="009E4D5F">
        <w:rPr>
          <w:rFonts w:ascii="Verdana" w:hAnsi="Verdana" w:cstheme="minorHAnsi"/>
          <w:sz w:val="23"/>
          <w:szCs w:val="23"/>
          <w:lang w:val="es-ES_tradnl"/>
        </w:rPr>
        <w:t>.</w:t>
      </w:r>
      <w:r w:rsidR="00954D42" w:rsidRPr="009E4D5F">
        <w:rPr>
          <w:rStyle w:val="Refdenotaalpie"/>
          <w:rFonts w:ascii="Verdana" w:hAnsi="Verdana" w:cstheme="minorHAnsi"/>
          <w:sz w:val="23"/>
          <w:szCs w:val="23"/>
          <w:lang w:val="es-ES_tradnl"/>
        </w:rPr>
        <w:footnoteReference w:id="25"/>
      </w:r>
    </w:p>
    <w:p w14:paraId="67B0B644" w14:textId="7B847F59" w:rsidR="00450163" w:rsidRPr="009E4D5F" w:rsidRDefault="00450163" w:rsidP="00A618EE">
      <w:pPr>
        <w:spacing w:before="100" w:beforeAutospacing="1" w:after="100" w:afterAutospacing="1" w:line="360" w:lineRule="auto"/>
        <w:jc w:val="both"/>
        <w:rPr>
          <w:rFonts w:ascii="Verdana" w:hAnsi="Verdana" w:cs="Arial"/>
          <w:bCs/>
          <w:sz w:val="23"/>
          <w:szCs w:val="23"/>
          <w:lang w:val="es-ES_tradnl"/>
        </w:rPr>
      </w:pPr>
      <w:r w:rsidRPr="009E4D5F">
        <w:rPr>
          <w:rFonts w:ascii="Verdana" w:hAnsi="Verdana"/>
          <w:sz w:val="23"/>
          <w:szCs w:val="23"/>
        </w:rPr>
        <w:t xml:space="preserve">De lo anterior </w:t>
      </w:r>
      <w:r w:rsidRPr="009E4D5F">
        <w:rPr>
          <w:rFonts w:ascii="Verdana" w:hAnsi="Verdana"/>
          <w:color w:val="000000"/>
          <w:sz w:val="23"/>
          <w:szCs w:val="23"/>
        </w:rPr>
        <w:t>se desprende, que, de la sola presentación del primer medio de impugnación, cerró la posibilidad jurídica de presentar nuevas demandas en uso del derecho de acción.</w:t>
      </w:r>
    </w:p>
    <w:p w14:paraId="0ADFBA36" w14:textId="597E91EA" w:rsidR="007E542B" w:rsidRPr="009E4D5F" w:rsidRDefault="00B14CB4" w:rsidP="00A618EE">
      <w:pPr>
        <w:spacing w:before="100" w:beforeAutospacing="1" w:after="100" w:afterAutospacing="1" w:line="360" w:lineRule="auto"/>
        <w:jc w:val="both"/>
        <w:rPr>
          <w:rFonts w:ascii="Verdana" w:hAnsi="Verdana" w:cs="Arial"/>
          <w:bCs/>
          <w:sz w:val="23"/>
          <w:szCs w:val="23"/>
          <w:lang w:val="es-ES_tradnl"/>
        </w:rPr>
      </w:pPr>
      <w:r w:rsidRPr="009E4D5F">
        <w:rPr>
          <w:rFonts w:ascii="Verdana" w:hAnsi="Verdana" w:cs="Arial"/>
          <w:bCs/>
          <w:sz w:val="23"/>
          <w:szCs w:val="23"/>
          <w:lang w:val="es-ES_tradnl"/>
        </w:rPr>
        <w:t xml:space="preserve">Por lo anteriormente expuesto, se desprende que no es admisible el presente recurso de apelación, por las razones señaladas. </w:t>
      </w:r>
    </w:p>
    <w:p w14:paraId="1F1741BD" w14:textId="11D9ABE9" w:rsidR="00F73689" w:rsidRPr="009E4D5F" w:rsidRDefault="00373BFA" w:rsidP="00A618EE">
      <w:pPr>
        <w:spacing w:before="100" w:beforeAutospacing="1" w:after="100" w:afterAutospacing="1" w:line="360" w:lineRule="auto"/>
        <w:jc w:val="both"/>
        <w:rPr>
          <w:rFonts w:ascii="Verdana" w:hAnsi="Verdana" w:cs="Arial"/>
          <w:bCs/>
          <w:sz w:val="23"/>
          <w:szCs w:val="23"/>
        </w:rPr>
      </w:pPr>
      <w:bookmarkStart w:id="0" w:name="_Hlk129853574"/>
      <w:bookmarkStart w:id="1" w:name="_Hlk71478344"/>
      <w:r w:rsidRPr="009E4D5F">
        <w:rPr>
          <w:rFonts w:ascii="Verdana" w:hAnsi="Verdana" w:cs="Arial"/>
          <w:sz w:val="23"/>
          <w:szCs w:val="23"/>
        </w:rPr>
        <w:t xml:space="preserve">En consecuencia, </w:t>
      </w:r>
      <w:r w:rsidR="0038273B" w:rsidRPr="009E4D5F">
        <w:rPr>
          <w:rFonts w:ascii="Verdana" w:hAnsi="Verdana" w:cs="Arial"/>
          <w:bCs/>
          <w:sz w:val="23"/>
          <w:szCs w:val="23"/>
        </w:rPr>
        <w:t xml:space="preserve">con fundamento en el artículo 303, fracción III, del </w:t>
      </w:r>
      <w:r w:rsidR="0038273B" w:rsidRPr="009E4D5F">
        <w:rPr>
          <w:rFonts w:ascii="Verdana" w:hAnsi="Verdana" w:cs="Arial"/>
          <w:bCs/>
          <w:smallCaps/>
          <w:sz w:val="23"/>
          <w:szCs w:val="23"/>
        </w:rPr>
        <w:t>Código Electoral</w:t>
      </w:r>
      <w:r w:rsidR="0038273B" w:rsidRPr="009E4D5F">
        <w:rPr>
          <w:rFonts w:ascii="Verdana" w:hAnsi="Verdana" w:cs="Arial"/>
          <w:bCs/>
          <w:sz w:val="23"/>
          <w:szCs w:val="23"/>
        </w:rPr>
        <w:t xml:space="preserve">, </w:t>
      </w:r>
      <w:r w:rsidR="00F73689" w:rsidRPr="009E4D5F">
        <w:rPr>
          <w:rFonts w:ascii="Verdana" w:hAnsi="Verdana" w:cs="Arial"/>
          <w:sz w:val="23"/>
          <w:szCs w:val="23"/>
        </w:rPr>
        <w:t xml:space="preserve">la demanda </w:t>
      </w:r>
      <w:r w:rsidR="00F73689" w:rsidRPr="009E4D5F">
        <w:rPr>
          <w:rFonts w:ascii="Verdana" w:hAnsi="Verdana" w:cs="Arial"/>
          <w:bCs/>
          <w:sz w:val="23"/>
          <w:szCs w:val="23"/>
        </w:rPr>
        <w:t xml:space="preserve">es notoriamente improcedente y, por ende, debe desecharse de plano, pues la </w:t>
      </w:r>
      <w:r w:rsidR="00F73689" w:rsidRPr="009E4D5F">
        <w:rPr>
          <w:rFonts w:ascii="Verdana" w:hAnsi="Verdana" w:cs="Arial"/>
          <w:bCs/>
          <w:smallCaps/>
          <w:sz w:val="23"/>
          <w:szCs w:val="23"/>
        </w:rPr>
        <w:t xml:space="preserve">Parte </w:t>
      </w:r>
      <w:r w:rsidR="00926FFD" w:rsidRPr="009E4D5F">
        <w:rPr>
          <w:rFonts w:ascii="Verdana" w:hAnsi="Verdana" w:cs="Arial"/>
          <w:bCs/>
          <w:smallCaps/>
          <w:sz w:val="23"/>
          <w:szCs w:val="23"/>
        </w:rPr>
        <w:t>Recurrente</w:t>
      </w:r>
      <w:r w:rsidR="00F73689" w:rsidRPr="009E4D5F">
        <w:rPr>
          <w:rFonts w:ascii="Verdana" w:hAnsi="Verdana" w:cs="Arial"/>
          <w:bCs/>
          <w:sz w:val="23"/>
          <w:szCs w:val="23"/>
        </w:rPr>
        <w:t xml:space="preserve"> ejerció previamente su derecho de acción en contra del acto reclamado, en el diverso Recurso de Apelación TEEA-RAP-002/2023</w:t>
      </w:r>
      <w:r w:rsidR="00AA7643">
        <w:rPr>
          <w:rFonts w:ascii="Verdana" w:hAnsi="Verdana" w:cs="Arial"/>
          <w:bCs/>
          <w:sz w:val="23"/>
          <w:szCs w:val="23"/>
        </w:rPr>
        <w:t>;</w:t>
      </w:r>
      <w:r w:rsidR="00F73689" w:rsidRPr="009E4D5F">
        <w:rPr>
          <w:rStyle w:val="Refdenotaalpie"/>
          <w:rFonts w:ascii="Verdana" w:hAnsi="Verdana" w:cs="Arial"/>
          <w:bCs/>
          <w:sz w:val="23"/>
          <w:szCs w:val="23"/>
        </w:rPr>
        <w:footnoteReference w:id="26"/>
      </w:r>
      <w:r w:rsidR="00F73689" w:rsidRPr="009E4D5F">
        <w:rPr>
          <w:rFonts w:ascii="Verdana" w:hAnsi="Verdana" w:cs="Arial"/>
          <w:bCs/>
          <w:sz w:val="23"/>
          <w:szCs w:val="23"/>
        </w:rPr>
        <w:t xml:space="preserve"> y, por ende, agotó esta facultad procesal.</w:t>
      </w:r>
    </w:p>
    <w:bookmarkEnd w:id="0"/>
    <w:bookmarkEnd w:id="1"/>
    <w:p w14:paraId="10CEEF6C" w14:textId="295CE025" w:rsidR="009C1068" w:rsidRPr="009E4D5F" w:rsidRDefault="00926FFD" w:rsidP="00926FFD">
      <w:pPr>
        <w:spacing w:before="100" w:beforeAutospacing="1" w:after="100" w:afterAutospacing="1" w:line="360" w:lineRule="auto"/>
        <w:rPr>
          <w:rFonts w:ascii="Verdana" w:hAnsi="Verdana" w:cs="Arial"/>
          <w:b/>
          <w:sz w:val="23"/>
          <w:szCs w:val="23"/>
        </w:rPr>
      </w:pPr>
      <w:r w:rsidRPr="009E4D5F">
        <w:rPr>
          <w:rFonts w:ascii="Verdana" w:hAnsi="Verdana" w:cs="Arial"/>
          <w:b/>
          <w:sz w:val="23"/>
          <w:szCs w:val="23"/>
        </w:rPr>
        <w:t>I</w:t>
      </w:r>
      <w:r w:rsidR="00373BFA" w:rsidRPr="009E4D5F">
        <w:rPr>
          <w:rFonts w:ascii="Verdana" w:hAnsi="Verdana" w:cs="Arial"/>
          <w:b/>
          <w:sz w:val="23"/>
          <w:szCs w:val="23"/>
        </w:rPr>
        <w:t xml:space="preserve">V. SE </w:t>
      </w:r>
      <w:r w:rsidR="009C1068" w:rsidRPr="009E4D5F">
        <w:rPr>
          <w:rFonts w:ascii="Verdana" w:hAnsi="Verdana" w:cs="Arial"/>
          <w:b/>
          <w:sz w:val="23"/>
          <w:szCs w:val="23"/>
        </w:rPr>
        <w:t>RESUELVE</w:t>
      </w:r>
    </w:p>
    <w:p w14:paraId="6DC3AAEB" w14:textId="2F6B4247" w:rsidR="009C1068" w:rsidRPr="009E4D5F" w:rsidRDefault="00905304" w:rsidP="00A618EE">
      <w:pPr>
        <w:spacing w:before="100" w:beforeAutospacing="1" w:after="100" w:afterAutospacing="1" w:line="360" w:lineRule="auto"/>
        <w:ind w:right="51"/>
        <w:jc w:val="both"/>
        <w:rPr>
          <w:rFonts w:ascii="Verdana" w:hAnsi="Verdana" w:cs="Arial"/>
          <w:sz w:val="23"/>
          <w:szCs w:val="23"/>
        </w:rPr>
      </w:pPr>
      <w:r w:rsidRPr="009E4D5F">
        <w:rPr>
          <w:rFonts w:ascii="Verdana" w:hAnsi="Verdana" w:cs="Arial"/>
          <w:b/>
          <w:bCs/>
          <w:sz w:val="23"/>
          <w:szCs w:val="23"/>
        </w:rPr>
        <w:t>ÚNICO</w:t>
      </w:r>
      <w:r w:rsidR="009C1068" w:rsidRPr="009E4D5F">
        <w:rPr>
          <w:rFonts w:ascii="Verdana" w:hAnsi="Verdana" w:cs="Arial"/>
          <w:b/>
          <w:bCs/>
          <w:sz w:val="23"/>
          <w:szCs w:val="23"/>
        </w:rPr>
        <w:t>.</w:t>
      </w:r>
      <w:r w:rsidR="009C1068" w:rsidRPr="009E4D5F">
        <w:rPr>
          <w:rFonts w:ascii="Verdana" w:hAnsi="Verdana" w:cs="Arial"/>
          <w:b/>
          <w:sz w:val="23"/>
          <w:szCs w:val="23"/>
        </w:rPr>
        <w:t xml:space="preserve"> </w:t>
      </w:r>
      <w:r w:rsidR="009C1068" w:rsidRPr="009E4D5F">
        <w:rPr>
          <w:rFonts w:ascii="Verdana" w:hAnsi="Verdana" w:cs="Arial"/>
          <w:bCs/>
          <w:sz w:val="23"/>
          <w:szCs w:val="23"/>
        </w:rPr>
        <w:t xml:space="preserve">Se </w:t>
      </w:r>
      <w:r w:rsidR="00CC6358" w:rsidRPr="009E4D5F">
        <w:rPr>
          <w:rFonts w:ascii="Verdana" w:hAnsi="Verdana" w:cs="Arial"/>
          <w:b/>
          <w:bCs/>
          <w:sz w:val="23"/>
          <w:szCs w:val="23"/>
        </w:rPr>
        <w:t>desecha</w:t>
      </w:r>
      <w:r w:rsidR="009C1068" w:rsidRPr="009E4D5F">
        <w:rPr>
          <w:rFonts w:ascii="Verdana" w:hAnsi="Verdana" w:cs="Arial"/>
          <w:bCs/>
          <w:sz w:val="23"/>
          <w:szCs w:val="23"/>
        </w:rPr>
        <w:t xml:space="preserve"> </w:t>
      </w:r>
      <w:r w:rsidR="00850462" w:rsidRPr="009E4D5F">
        <w:rPr>
          <w:rFonts w:ascii="Verdana" w:hAnsi="Verdana"/>
          <w:bCs/>
          <w:sz w:val="23"/>
          <w:szCs w:val="23"/>
        </w:rPr>
        <w:t xml:space="preserve">de plano </w:t>
      </w:r>
      <w:r w:rsidRPr="009E4D5F">
        <w:rPr>
          <w:rFonts w:ascii="Verdana" w:hAnsi="Verdana"/>
          <w:bCs/>
          <w:sz w:val="23"/>
          <w:szCs w:val="23"/>
        </w:rPr>
        <w:t>el recurso de apelación</w:t>
      </w:r>
      <w:r w:rsidR="003B4BBC" w:rsidRPr="009E4D5F">
        <w:rPr>
          <w:rFonts w:ascii="Verdana" w:hAnsi="Verdana"/>
          <w:bCs/>
          <w:sz w:val="23"/>
          <w:szCs w:val="23"/>
        </w:rPr>
        <w:t>,</w:t>
      </w:r>
      <w:r w:rsidR="00850462" w:rsidRPr="009E4D5F">
        <w:rPr>
          <w:rFonts w:ascii="Verdana" w:hAnsi="Verdana"/>
          <w:bCs/>
          <w:sz w:val="23"/>
          <w:szCs w:val="23"/>
        </w:rPr>
        <w:t xml:space="preserve"> </w:t>
      </w:r>
      <w:r w:rsidR="00D503F8" w:rsidRPr="009E4D5F">
        <w:rPr>
          <w:rFonts w:ascii="Verdana" w:hAnsi="Verdana" w:cs="Arial"/>
          <w:bCs/>
          <w:sz w:val="23"/>
          <w:szCs w:val="23"/>
        </w:rPr>
        <w:t xml:space="preserve">en los términos expuestos </w:t>
      </w:r>
      <w:r w:rsidR="00FE6E35" w:rsidRPr="009E4D5F">
        <w:rPr>
          <w:rFonts w:ascii="Verdana" w:hAnsi="Verdana" w:cs="Arial"/>
          <w:bCs/>
          <w:sz w:val="23"/>
          <w:szCs w:val="23"/>
        </w:rPr>
        <w:t>en</w:t>
      </w:r>
      <w:r w:rsidR="00D503F8" w:rsidRPr="009E4D5F">
        <w:rPr>
          <w:rFonts w:ascii="Verdana" w:hAnsi="Verdana" w:cs="Arial"/>
          <w:bCs/>
          <w:sz w:val="23"/>
          <w:szCs w:val="23"/>
        </w:rPr>
        <w:t xml:space="preserve"> esta sentencia. </w:t>
      </w:r>
    </w:p>
    <w:p w14:paraId="0680EB6A" w14:textId="730F5948" w:rsidR="009C1068" w:rsidRPr="009E4D5F" w:rsidRDefault="009C1068" w:rsidP="00A618EE">
      <w:pPr>
        <w:spacing w:before="100" w:beforeAutospacing="1" w:after="100" w:afterAutospacing="1" w:line="360" w:lineRule="auto"/>
        <w:jc w:val="both"/>
        <w:rPr>
          <w:rFonts w:ascii="Verdana" w:hAnsi="Verdana" w:cs="Arial"/>
          <w:smallCaps/>
          <w:sz w:val="23"/>
          <w:szCs w:val="23"/>
          <w:lang w:val="es-MX"/>
        </w:rPr>
      </w:pPr>
      <w:r w:rsidRPr="009E4D5F">
        <w:rPr>
          <w:rFonts w:ascii="Verdana" w:hAnsi="Verdana" w:cs="Tahoma"/>
          <w:b/>
          <w:sz w:val="23"/>
          <w:szCs w:val="23"/>
          <w:lang w:val="es-MX"/>
        </w:rPr>
        <w:t>NOTIFÍQUESE</w:t>
      </w:r>
      <w:r w:rsidRPr="009E4D5F">
        <w:rPr>
          <w:rFonts w:ascii="Verdana" w:hAnsi="Verdana" w:cs="Tahoma"/>
          <w:sz w:val="23"/>
          <w:szCs w:val="23"/>
          <w:lang w:val="es-MX"/>
        </w:rPr>
        <w:t xml:space="preserve"> </w:t>
      </w:r>
      <w:r w:rsidR="00E45428" w:rsidRPr="009E4D5F">
        <w:rPr>
          <w:rFonts w:ascii="Verdana" w:hAnsi="Verdana" w:cs="Tahoma"/>
          <w:sz w:val="23"/>
          <w:szCs w:val="23"/>
          <w:lang w:val="es-MX"/>
        </w:rPr>
        <w:t>como en derecho corresponda</w:t>
      </w:r>
      <w:r w:rsidRPr="009E4D5F">
        <w:rPr>
          <w:rFonts w:ascii="Verdana" w:hAnsi="Verdana" w:cs="Arial"/>
          <w:smallCaps/>
          <w:sz w:val="23"/>
          <w:szCs w:val="23"/>
          <w:lang w:val="es-MX"/>
        </w:rPr>
        <w:t>.</w:t>
      </w:r>
    </w:p>
    <w:p w14:paraId="1AD406AB" w14:textId="77777777" w:rsidR="009C1068" w:rsidRPr="009E4D5F" w:rsidRDefault="009C1068" w:rsidP="00A618EE">
      <w:pPr>
        <w:pStyle w:val="NormalWeb"/>
        <w:widowControl w:val="0"/>
        <w:spacing w:line="360" w:lineRule="auto"/>
        <w:jc w:val="both"/>
        <w:rPr>
          <w:rFonts w:ascii="Verdana" w:hAnsi="Verdana"/>
          <w:sz w:val="23"/>
          <w:szCs w:val="23"/>
        </w:rPr>
      </w:pPr>
      <w:r w:rsidRPr="009E4D5F">
        <w:rPr>
          <w:rFonts w:ascii="Verdana" w:hAnsi="Verdana"/>
          <w:sz w:val="23"/>
          <w:szCs w:val="23"/>
        </w:rPr>
        <w:t>En su oportunidad, archívese este asunto como total y definitivamente concluido.</w:t>
      </w:r>
    </w:p>
    <w:p w14:paraId="3F0B90EE" w14:textId="06F4E728" w:rsidR="009C1068" w:rsidRPr="009E4D5F" w:rsidRDefault="009C1068" w:rsidP="00A618EE">
      <w:pPr>
        <w:widowControl w:val="0"/>
        <w:spacing w:before="100" w:beforeAutospacing="1" w:after="100" w:afterAutospacing="1" w:line="360" w:lineRule="auto"/>
        <w:jc w:val="both"/>
        <w:rPr>
          <w:rFonts w:ascii="Verdana" w:hAnsi="Verdana" w:cs="Tahoma"/>
          <w:b/>
          <w:sz w:val="23"/>
          <w:szCs w:val="23"/>
        </w:rPr>
      </w:pPr>
      <w:r w:rsidRPr="009E4D5F">
        <w:rPr>
          <w:rFonts w:ascii="Verdana" w:hAnsi="Verdana" w:cs="Arial"/>
          <w:sz w:val="23"/>
          <w:szCs w:val="23"/>
        </w:rPr>
        <w:t xml:space="preserve">Así lo resolvieron por </w:t>
      </w:r>
      <w:r w:rsidR="00503B70">
        <w:rPr>
          <w:rFonts w:ascii="Verdana" w:hAnsi="Verdana" w:cs="Arial"/>
          <w:b/>
          <w:sz w:val="23"/>
          <w:szCs w:val="23"/>
        </w:rPr>
        <w:t>unanimidad</w:t>
      </w:r>
      <w:r w:rsidRPr="009E4D5F">
        <w:rPr>
          <w:rFonts w:ascii="Verdana" w:hAnsi="Verdana" w:cs="Arial"/>
          <w:b/>
          <w:sz w:val="23"/>
          <w:szCs w:val="23"/>
        </w:rPr>
        <w:t xml:space="preserve"> </w:t>
      </w:r>
      <w:r w:rsidRPr="009E4D5F">
        <w:rPr>
          <w:rFonts w:ascii="Verdana" w:hAnsi="Verdana" w:cs="Arial"/>
          <w:sz w:val="23"/>
          <w:szCs w:val="23"/>
        </w:rPr>
        <w:t>de votos las Magistraturas</w:t>
      </w:r>
      <w:r w:rsidR="00CC6358" w:rsidRPr="009E4D5F">
        <w:rPr>
          <w:rFonts w:ascii="Verdana" w:hAnsi="Verdana" w:cs="Arial"/>
          <w:sz w:val="23"/>
          <w:szCs w:val="23"/>
        </w:rPr>
        <w:t>,</w:t>
      </w:r>
      <w:r w:rsidRPr="009E4D5F">
        <w:rPr>
          <w:rFonts w:ascii="Verdana" w:hAnsi="Verdana" w:cs="Arial"/>
          <w:sz w:val="23"/>
          <w:szCs w:val="23"/>
        </w:rPr>
        <w:t xml:space="preserve"> Héctor Salvador Hernández Gallegos, Magistra</w:t>
      </w:r>
      <w:r w:rsidR="00CD1205" w:rsidRPr="009E4D5F">
        <w:rPr>
          <w:rFonts w:ascii="Verdana" w:hAnsi="Verdana" w:cs="Arial"/>
          <w:sz w:val="23"/>
          <w:szCs w:val="23"/>
        </w:rPr>
        <w:t>tura que</w:t>
      </w:r>
      <w:r w:rsidRPr="009E4D5F">
        <w:rPr>
          <w:rFonts w:ascii="Verdana" w:hAnsi="Verdana" w:cs="Arial"/>
          <w:sz w:val="23"/>
          <w:szCs w:val="23"/>
        </w:rPr>
        <w:t xml:space="preserve"> Presid</w:t>
      </w:r>
      <w:r w:rsidR="00CD1205" w:rsidRPr="009E4D5F">
        <w:rPr>
          <w:rFonts w:ascii="Verdana" w:hAnsi="Verdana" w:cs="Arial"/>
          <w:sz w:val="23"/>
          <w:szCs w:val="23"/>
        </w:rPr>
        <w:t>e</w:t>
      </w:r>
      <w:r w:rsidR="009016C8" w:rsidRPr="009E4D5F">
        <w:rPr>
          <w:rFonts w:ascii="Verdana" w:hAnsi="Verdana" w:cs="Arial"/>
          <w:sz w:val="23"/>
          <w:szCs w:val="23"/>
        </w:rPr>
        <w:t>,</w:t>
      </w:r>
      <w:r w:rsidRPr="009E4D5F">
        <w:rPr>
          <w:rFonts w:ascii="Verdana" w:hAnsi="Verdana" w:cs="Arial"/>
          <w:sz w:val="23"/>
          <w:szCs w:val="23"/>
        </w:rPr>
        <w:t xml:space="preserve"> </w:t>
      </w:r>
      <w:r w:rsidR="009016C8" w:rsidRPr="009E4D5F">
        <w:rPr>
          <w:rFonts w:ascii="Verdana" w:hAnsi="Verdana" w:cs="Arial"/>
          <w:sz w:val="23"/>
          <w:szCs w:val="23"/>
        </w:rPr>
        <w:t xml:space="preserve">Magistrada Laura Hortensia Llamas Hernández </w:t>
      </w:r>
      <w:r w:rsidRPr="009E4D5F">
        <w:rPr>
          <w:rFonts w:ascii="Verdana" w:hAnsi="Verdana" w:cs="Arial"/>
          <w:sz w:val="23"/>
          <w:szCs w:val="23"/>
        </w:rPr>
        <w:t>y</w:t>
      </w:r>
      <w:r w:rsidR="00E305AC" w:rsidRPr="009E4D5F">
        <w:rPr>
          <w:rFonts w:ascii="Verdana" w:hAnsi="Verdana" w:cs="Arial"/>
          <w:sz w:val="23"/>
          <w:szCs w:val="23"/>
        </w:rPr>
        <w:t xml:space="preserve"> </w:t>
      </w:r>
      <w:r w:rsidRPr="009E4D5F">
        <w:rPr>
          <w:rFonts w:ascii="Verdana" w:hAnsi="Verdana" w:cs="Arial"/>
          <w:sz w:val="23"/>
          <w:szCs w:val="23"/>
        </w:rPr>
        <w:t xml:space="preserve">el Magistrade en funciones Jesús </w:t>
      </w:r>
      <w:r w:rsidRPr="009E4D5F">
        <w:rPr>
          <w:rFonts w:ascii="Verdana" w:hAnsi="Verdana" w:cs="Arial"/>
          <w:sz w:val="23"/>
          <w:szCs w:val="23"/>
        </w:rPr>
        <w:lastRenderedPageBreak/>
        <w:t xml:space="preserve">Ociel Baena Saucedo, mismos que actúan ante la Secretaría General de </w:t>
      </w:r>
      <w:r w:rsidR="00865526" w:rsidRPr="009E4D5F">
        <w:rPr>
          <w:rFonts w:ascii="Verdana" w:hAnsi="Verdana" w:cs="Arial"/>
          <w:sz w:val="23"/>
          <w:szCs w:val="23"/>
        </w:rPr>
        <w:t>A</w:t>
      </w:r>
      <w:r w:rsidRPr="009E4D5F">
        <w:rPr>
          <w:rFonts w:ascii="Verdana" w:hAnsi="Verdana" w:cs="Arial"/>
          <w:sz w:val="23"/>
          <w:szCs w:val="23"/>
        </w:rPr>
        <w:t>cuerdos en funciones, quién autoriza y da fe. Conste.</w:t>
      </w:r>
    </w:p>
    <w:tbl>
      <w:tblPr>
        <w:tblW w:w="9519" w:type="dxa"/>
        <w:tblInd w:w="-772" w:type="dxa"/>
        <w:tblLayout w:type="fixed"/>
        <w:tblLook w:val="04A0" w:firstRow="1" w:lastRow="0" w:firstColumn="1" w:lastColumn="0" w:noHBand="0" w:noVBand="1"/>
      </w:tblPr>
      <w:tblGrid>
        <w:gridCol w:w="4732"/>
        <w:gridCol w:w="4787"/>
      </w:tblGrid>
      <w:tr w:rsidR="00D1050D" w:rsidRPr="009E4D5F" w14:paraId="698F1DA0" w14:textId="77777777" w:rsidTr="00D26C1D">
        <w:trPr>
          <w:trHeight w:val="949"/>
        </w:trPr>
        <w:tc>
          <w:tcPr>
            <w:tcW w:w="9519" w:type="dxa"/>
            <w:gridSpan w:val="2"/>
            <w:hideMark/>
          </w:tcPr>
          <w:p w14:paraId="105E6D44" w14:textId="77777777" w:rsidR="00D1050D" w:rsidRPr="009E4D5F" w:rsidRDefault="00D1050D" w:rsidP="001842AD">
            <w:pPr>
              <w:pStyle w:val="NormalWeb"/>
              <w:spacing w:line="360" w:lineRule="auto"/>
              <w:rPr>
                <w:rFonts w:ascii="Verdana" w:hAnsi="Verdana" w:cs="Arial"/>
                <w:b/>
                <w:bCs/>
                <w:sz w:val="23"/>
                <w:szCs w:val="23"/>
              </w:rPr>
            </w:pPr>
          </w:p>
          <w:p w14:paraId="11927EC1" w14:textId="00EAD28C" w:rsidR="00D1050D" w:rsidRPr="009E4D5F" w:rsidRDefault="00D1050D" w:rsidP="00E94A4A">
            <w:pPr>
              <w:pStyle w:val="NormalWeb"/>
              <w:spacing w:line="360" w:lineRule="auto"/>
              <w:jc w:val="center"/>
              <w:rPr>
                <w:rFonts w:ascii="Verdana" w:hAnsi="Verdana" w:cs="Arial"/>
                <w:b/>
                <w:bCs/>
                <w:sz w:val="23"/>
                <w:szCs w:val="23"/>
              </w:rPr>
            </w:pPr>
            <w:r w:rsidRPr="009E4D5F">
              <w:rPr>
                <w:rFonts w:ascii="Verdana" w:hAnsi="Verdana" w:cs="Arial"/>
                <w:b/>
                <w:bCs/>
                <w:sz w:val="23"/>
                <w:szCs w:val="23"/>
              </w:rPr>
              <w:t>MAGISTR</w:t>
            </w:r>
            <w:r w:rsidR="00DA6E69" w:rsidRPr="009E4D5F">
              <w:rPr>
                <w:rFonts w:ascii="Verdana" w:hAnsi="Verdana" w:cs="Arial"/>
                <w:b/>
                <w:bCs/>
                <w:sz w:val="23"/>
                <w:szCs w:val="23"/>
              </w:rPr>
              <w:t>AT</w:t>
            </w:r>
            <w:r w:rsidRPr="009E4D5F">
              <w:rPr>
                <w:rFonts w:ascii="Verdana" w:hAnsi="Verdana" w:cs="Arial"/>
                <w:b/>
                <w:bCs/>
                <w:sz w:val="23"/>
                <w:szCs w:val="23"/>
              </w:rPr>
              <w:t>URA QUE PRESIDE</w:t>
            </w:r>
          </w:p>
          <w:p w14:paraId="3C157CAB" w14:textId="47736589" w:rsidR="00D1050D" w:rsidRPr="009E4D5F" w:rsidRDefault="00D1050D" w:rsidP="00E94A4A">
            <w:pPr>
              <w:pStyle w:val="NormalWeb"/>
              <w:spacing w:line="360" w:lineRule="auto"/>
              <w:jc w:val="center"/>
              <w:rPr>
                <w:rFonts w:ascii="Verdana" w:hAnsi="Verdana" w:cs="Arial"/>
                <w:b/>
                <w:bCs/>
                <w:sz w:val="23"/>
                <w:szCs w:val="23"/>
              </w:rPr>
            </w:pPr>
          </w:p>
          <w:p w14:paraId="1F5C7BB2" w14:textId="1AC51CF0" w:rsidR="00D1050D" w:rsidRPr="009E4D5F" w:rsidRDefault="00D1050D" w:rsidP="00E94A4A">
            <w:pPr>
              <w:pStyle w:val="NormalWeb"/>
              <w:spacing w:line="360" w:lineRule="auto"/>
              <w:jc w:val="center"/>
              <w:rPr>
                <w:rFonts w:ascii="Verdana" w:hAnsi="Verdana" w:cs="Arial"/>
                <w:b/>
                <w:bCs/>
                <w:sz w:val="23"/>
                <w:szCs w:val="23"/>
              </w:rPr>
            </w:pPr>
            <w:r w:rsidRPr="009E4D5F">
              <w:rPr>
                <w:rFonts w:ascii="Verdana" w:hAnsi="Verdana" w:cs="Arial"/>
                <w:b/>
                <w:bCs/>
                <w:sz w:val="23"/>
                <w:szCs w:val="23"/>
              </w:rPr>
              <w:t>HÉCTOR SALVADOR HERNÁNDEZ GALLEGOS</w:t>
            </w:r>
          </w:p>
          <w:p w14:paraId="3A0231C2" w14:textId="77777777" w:rsidR="00D1050D" w:rsidRPr="009E4D5F" w:rsidRDefault="00D1050D" w:rsidP="00E94A4A">
            <w:pPr>
              <w:pStyle w:val="NormalWeb"/>
              <w:spacing w:line="360" w:lineRule="auto"/>
              <w:jc w:val="center"/>
              <w:rPr>
                <w:rFonts w:ascii="Verdana" w:hAnsi="Verdana" w:cs="Arial"/>
                <w:b/>
                <w:bCs/>
                <w:sz w:val="23"/>
                <w:szCs w:val="23"/>
              </w:rPr>
            </w:pPr>
          </w:p>
          <w:p w14:paraId="013BAE01" w14:textId="77777777" w:rsidR="00D1050D" w:rsidRPr="009E4D5F" w:rsidRDefault="00D1050D" w:rsidP="00E94A4A">
            <w:pPr>
              <w:pStyle w:val="NormalWeb"/>
              <w:spacing w:line="360" w:lineRule="auto"/>
              <w:jc w:val="center"/>
              <w:rPr>
                <w:rFonts w:ascii="Verdana" w:hAnsi="Verdana" w:cs="Arial"/>
                <w:b/>
                <w:bCs/>
                <w:sz w:val="23"/>
                <w:szCs w:val="23"/>
              </w:rPr>
            </w:pPr>
          </w:p>
        </w:tc>
      </w:tr>
      <w:tr w:rsidR="00D1050D" w:rsidRPr="009E4D5F" w14:paraId="3B721994" w14:textId="77777777" w:rsidTr="00D26C1D">
        <w:tblPrEx>
          <w:tblLook w:val="0000" w:firstRow="0" w:lastRow="0" w:firstColumn="0" w:lastColumn="0" w:noHBand="0" w:noVBand="0"/>
        </w:tblPrEx>
        <w:trPr>
          <w:trHeight w:val="1246"/>
        </w:trPr>
        <w:tc>
          <w:tcPr>
            <w:tcW w:w="4732" w:type="dxa"/>
          </w:tcPr>
          <w:p w14:paraId="327064FC" w14:textId="47B15B61" w:rsidR="00D1050D" w:rsidRPr="009E4D5F" w:rsidRDefault="00D1050D" w:rsidP="00E94A4A">
            <w:pPr>
              <w:pStyle w:val="NormalWeb"/>
              <w:spacing w:line="360" w:lineRule="auto"/>
              <w:jc w:val="center"/>
              <w:rPr>
                <w:rFonts w:ascii="Verdana" w:hAnsi="Verdana" w:cs="Arial"/>
                <w:b/>
                <w:bCs/>
                <w:sz w:val="23"/>
                <w:szCs w:val="23"/>
              </w:rPr>
            </w:pPr>
            <w:r w:rsidRPr="009E4D5F">
              <w:rPr>
                <w:rFonts w:ascii="Verdana" w:hAnsi="Verdana" w:cs="Arial"/>
                <w:b/>
                <w:bCs/>
                <w:sz w:val="23"/>
                <w:szCs w:val="23"/>
              </w:rPr>
              <w:t>MAGISTRATURA</w:t>
            </w:r>
          </w:p>
          <w:p w14:paraId="1CDEDF08" w14:textId="2F0EDDC3" w:rsidR="00D1050D" w:rsidRPr="009E4D5F" w:rsidRDefault="00D1050D" w:rsidP="00E94A4A">
            <w:pPr>
              <w:pStyle w:val="NormalWeb"/>
              <w:spacing w:line="360" w:lineRule="auto"/>
              <w:rPr>
                <w:rFonts w:ascii="Verdana" w:hAnsi="Verdana" w:cs="Arial"/>
                <w:b/>
                <w:bCs/>
                <w:sz w:val="23"/>
                <w:szCs w:val="23"/>
              </w:rPr>
            </w:pPr>
          </w:p>
          <w:p w14:paraId="2D1EF453" w14:textId="77777777" w:rsidR="00D1050D" w:rsidRPr="009E4D5F" w:rsidRDefault="00D1050D" w:rsidP="00E94A4A">
            <w:pPr>
              <w:pStyle w:val="NormalWeb"/>
              <w:spacing w:line="360" w:lineRule="auto"/>
              <w:jc w:val="center"/>
              <w:rPr>
                <w:rFonts w:ascii="Verdana" w:hAnsi="Verdana" w:cs="Arial"/>
                <w:b/>
                <w:bCs/>
                <w:sz w:val="23"/>
                <w:szCs w:val="23"/>
              </w:rPr>
            </w:pPr>
            <w:r w:rsidRPr="009E4D5F">
              <w:rPr>
                <w:rFonts w:ascii="Verdana" w:hAnsi="Verdana" w:cs="Arial"/>
                <w:b/>
                <w:bCs/>
                <w:sz w:val="23"/>
                <w:szCs w:val="23"/>
              </w:rPr>
              <w:t>LAURA HORTENSIA LLAMAS HERNÁNDEZ</w:t>
            </w:r>
          </w:p>
        </w:tc>
        <w:tc>
          <w:tcPr>
            <w:tcW w:w="4787" w:type="dxa"/>
          </w:tcPr>
          <w:p w14:paraId="178FD365" w14:textId="6F1F9CC7" w:rsidR="00D1050D" w:rsidRPr="009E4D5F" w:rsidRDefault="00D1050D" w:rsidP="00E94A4A">
            <w:pPr>
              <w:pStyle w:val="NormalWeb"/>
              <w:spacing w:line="360" w:lineRule="auto"/>
              <w:jc w:val="center"/>
              <w:rPr>
                <w:rFonts w:ascii="Verdana" w:hAnsi="Verdana" w:cs="Arial"/>
                <w:b/>
                <w:bCs/>
                <w:sz w:val="23"/>
                <w:szCs w:val="23"/>
              </w:rPr>
            </w:pPr>
            <w:r w:rsidRPr="009E4D5F">
              <w:rPr>
                <w:rFonts w:ascii="Verdana" w:hAnsi="Verdana" w:cs="Arial"/>
                <w:b/>
                <w:bCs/>
                <w:sz w:val="23"/>
                <w:szCs w:val="23"/>
              </w:rPr>
              <w:t>MAGISTRATURA EN FUNCIONES</w:t>
            </w:r>
          </w:p>
          <w:p w14:paraId="03AD88DC" w14:textId="675CDB92" w:rsidR="00D1050D" w:rsidRPr="009E4D5F" w:rsidRDefault="00D1050D" w:rsidP="00E94A4A">
            <w:pPr>
              <w:pStyle w:val="NormalWeb"/>
              <w:spacing w:line="360" w:lineRule="auto"/>
              <w:jc w:val="center"/>
              <w:rPr>
                <w:rFonts w:ascii="Verdana" w:hAnsi="Verdana" w:cs="Arial"/>
                <w:b/>
                <w:bCs/>
                <w:sz w:val="23"/>
                <w:szCs w:val="23"/>
              </w:rPr>
            </w:pPr>
          </w:p>
          <w:p w14:paraId="3368181F" w14:textId="38316013" w:rsidR="00D1050D" w:rsidRPr="009E4D5F" w:rsidRDefault="00D1050D" w:rsidP="00E94A4A">
            <w:pPr>
              <w:pStyle w:val="NormalWeb"/>
              <w:spacing w:line="360" w:lineRule="auto"/>
              <w:jc w:val="center"/>
              <w:rPr>
                <w:rFonts w:ascii="Verdana" w:hAnsi="Verdana" w:cs="Arial"/>
                <w:b/>
                <w:bCs/>
                <w:sz w:val="23"/>
                <w:szCs w:val="23"/>
              </w:rPr>
            </w:pPr>
            <w:r w:rsidRPr="009E4D5F">
              <w:rPr>
                <w:rFonts w:ascii="Verdana" w:hAnsi="Verdana" w:cs="Arial"/>
                <w:b/>
                <w:bCs/>
                <w:sz w:val="23"/>
                <w:szCs w:val="23"/>
              </w:rPr>
              <w:t>JESÚS OCIEL BAENA SAUCEDO</w:t>
            </w:r>
          </w:p>
        </w:tc>
      </w:tr>
      <w:tr w:rsidR="00D1050D" w:rsidRPr="009E4D5F" w14:paraId="4973498A" w14:textId="77777777" w:rsidTr="00D26C1D">
        <w:tblPrEx>
          <w:tblLook w:val="0000" w:firstRow="0" w:lastRow="0" w:firstColumn="0" w:lastColumn="0" w:noHBand="0" w:noVBand="0"/>
        </w:tblPrEx>
        <w:trPr>
          <w:trHeight w:val="740"/>
        </w:trPr>
        <w:tc>
          <w:tcPr>
            <w:tcW w:w="9519" w:type="dxa"/>
            <w:gridSpan w:val="2"/>
          </w:tcPr>
          <w:p w14:paraId="234C2513" w14:textId="77777777" w:rsidR="00D1050D" w:rsidRPr="009E4D5F" w:rsidRDefault="00D1050D" w:rsidP="00E94A4A">
            <w:pPr>
              <w:pStyle w:val="NormalWeb"/>
              <w:spacing w:line="360" w:lineRule="auto"/>
              <w:jc w:val="center"/>
              <w:rPr>
                <w:rFonts w:ascii="Verdana" w:hAnsi="Verdana" w:cs="Arial"/>
                <w:b/>
                <w:bCs/>
                <w:sz w:val="23"/>
                <w:szCs w:val="23"/>
              </w:rPr>
            </w:pPr>
          </w:p>
          <w:p w14:paraId="3B37095E" w14:textId="7A0B7512" w:rsidR="00D1050D" w:rsidRPr="009E4D5F" w:rsidRDefault="00D1050D" w:rsidP="00E94A4A">
            <w:pPr>
              <w:pStyle w:val="NormalWeb"/>
              <w:spacing w:line="360" w:lineRule="auto"/>
              <w:jc w:val="center"/>
              <w:rPr>
                <w:rFonts w:ascii="Verdana" w:hAnsi="Verdana" w:cs="Arial"/>
                <w:b/>
                <w:bCs/>
                <w:sz w:val="23"/>
                <w:szCs w:val="23"/>
              </w:rPr>
            </w:pPr>
            <w:r w:rsidRPr="009E4D5F">
              <w:rPr>
                <w:rFonts w:ascii="Verdana" w:hAnsi="Verdana" w:cs="Arial"/>
                <w:b/>
                <w:bCs/>
                <w:sz w:val="23"/>
                <w:szCs w:val="23"/>
              </w:rPr>
              <w:t>SECRETARÍA GENERAL DE ACUERDOS EN FUNCIONES</w:t>
            </w:r>
          </w:p>
          <w:p w14:paraId="496F2F38" w14:textId="760957A9" w:rsidR="00D1050D" w:rsidRPr="009E4D5F" w:rsidRDefault="00D1050D" w:rsidP="00E94A4A">
            <w:pPr>
              <w:pStyle w:val="NormalWeb"/>
              <w:spacing w:line="360" w:lineRule="auto"/>
              <w:jc w:val="center"/>
              <w:rPr>
                <w:rFonts w:ascii="Verdana" w:hAnsi="Verdana" w:cs="Arial"/>
                <w:b/>
                <w:bCs/>
                <w:sz w:val="23"/>
                <w:szCs w:val="23"/>
              </w:rPr>
            </w:pPr>
          </w:p>
        </w:tc>
      </w:tr>
      <w:tr w:rsidR="00D1050D" w:rsidRPr="009E4D5F" w14:paraId="3151CCEE" w14:textId="77777777" w:rsidTr="00D26C1D">
        <w:tblPrEx>
          <w:tblLook w:val="0000" w:firstRow="0" w:lastRow="0" w:firstColumn="0" w:lastColumn="0" w:noHBand="0" w:noVBand="0"/>
        </w:tblPrEx>
        <w:trPr>
          <w:trHeight w:val="248"/>
        </w:trPr>
        <w:tc>
          <w:tcPr>
            <w:tcW w:w="9519" w:type="dxa"/>
            <w:gridSpan w:val="2"/>
          </w:tcPr>
          <w:p w14:paraId="66D916EF" w14:textId="34B1DA28" w:rsidR="00D1050D" w:rsidRPr="009E4D5F" w:rsidRDefault="00D1050D" w:rsidP="00E94A4A">
            <w:pPr>
              <w:pStyle w:val="NormalWeb"/>
              <w:spacing w:line="360" w:lineRule="auto"/>
              <w:rPr>
                <w:rFonts w:ascii="Verdana" w:hAnsi="Verdana" w:cs="Arial"/>
                <w:b/>
                <w:bCs/>
                <w:sz w:val="23"/>
                <w:szCs w:val="23"/>
              </w:rPr>
            </w:pPr>
          </w:p>
        </w:tc>
      </w:tr>
      <w:tr w:rsidR="00D1050D" w:rsidRPr="00434828" w14:paraId="7E6DAF6E" w14:textId="77777777" w:rsidTr="00D26C1D">
        <w:tblPrEx>
          <w:tblLook w:val="0000" w:firstRow="0" w:lastRow="0" w:firstColumn="0" w:lastColumn="0" w:noHBand="0" w:noVBand="0"/>
        </w:tblPrEx>
        <w:trPr>
          <w:trHeight w:val="248"/>
        </w:trPr>
        <w:tc>
          <w:tcPr>
            <w:tcW w:w="9519" w:type="dxa"/>
            <w:gridSpan w:val="2"/>
          </w:tcPr>
          <w:p w14:paraId="2A2F94D6" w14:textId="21BC05FC" w:rsidR="00D1050D" w:rsidRPr="00434828" w:rsidRDefault="00D1050D" w:rsidP="00E94A4A">
            <w:pPr>
              <w:pStyle w:val="NormalWeb"/>
              <w:spacing w:line="360" w:lineRule="auto"/>
              <w:jc w:val="center"/>
              <w:rPr>
                <w:rFonts w:ascii="Verdana" w:hAnsi="Verdana" w:cs="Arial"/>
                <w:b/>
                <w:bCs/>
                <w:sz w:val="23"/>
                <w:szCs w:val="23"/>
              </w:rPr>
            </w:pPr>
            <w:r w:rsidRPr="009E4D5F">
              <w:rPr>
                <w:rFonts w:ascii="Verdana" w:hAnsi="Verdana" w:cs="Arial"/>
                <w:b/>
                <w:bCs/>
                <w:sz w:val="23"/>
                <w:szCs w:val="23"/>
              </w:rPr>
              <w:t>NESTOR ENRIQUE RIVERA LÓPEZ</w:t>
            </w:r>
          </w:p>
        </w:tc>
      </w:tr>
    </w:tbl>
    <w:p w14:paraId="2CB4711B" w14:textId="77777777" w:rsidR="00D1050D" w:rsidRPr="00434828" w:rsidRDefault="00D1050D" w:rsidP="00D1050D">
      <w:pPr>
        <w:rPr>
          <w:rFonts w:ascii="Verdana" w:hAnsi="Verdana"/>
          <w:sz w:val="23"/>
          <w:szCs w:val="23"/>
        </w:rPr>
      </w:pPr>
    </w:p>
    <w:p w14:paraId="212A844B" w14:textId="77777777" w:rsidR="00D42224" w:rsidRPr="00434828" w:rsidRDefault="00D42224">
      <w:pPr>
        <w:rPr>
          <w:rFonts w:ascii="Verdana" w:hAnsi="Verdana"/>
          <w:sz w:val="23"/>
          <w:szCs w:val="23"/>
        </w:rPr>
      </w:pPr>
    </w:p>
    <w:sectPr w:rsidR="00D42224" w:rsidRPr="00434828" w:rsidSect="007F3BE7">
      <w:headerReference w:type="even" r:id="rId8"/>
      <w:headerReference w:type="default" r:id="rId9"/>
      <w:footerReference w:type="even" r:id="rId10"/>
      <w:footerReference w:type="default" r:id="rId11"/>
      <w:headerReference w:type="first" r:id="rId12"/>
      <w:footerReference w:type="first" r:id="rId13"/>
      <w:pgSz w:w="12242" w:h="18722" w:code="120"/>
      <w:pgMar w:top="3062" w:right="1418" w:bottom="1134" w:left="2835" w:header="709" w:footer="3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A2E61" w14:textId="77777777" w:rsidR="00747F63" w:rsidRDefault="00747F63" w:rsidP="009C1068">
      <w:pPr>
        <w:spacing w:before="0" w:after="0"/>
      </w:pPr>
      <w:r>
        <w:separator/>
      </w:r>
    </w:p>
  </w:endnote>
  <w:endnote w:type="continuationSeparator" w:id="0">
    <w:p w14:paraId="69851C09" w14:textId="77777777" w:rsidR="00747F63" w:rsidRDefault="00747F63" w:rsidP="009C10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5E62" w14:textId="77777777" w:rsidR="00000000" w:rsidRPr="00AF10AF" w:rsidRDefault="009C1068" w:rsidP="00D414B6">
    <w:pPr>
      <w:pStyle w:val="Piedepgina"/>
      <w:ind w:right="36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E3DF" w14:textId="77777777" w:rsidR="00000000" w:rsidRPr="00AF10AF" w:rsidRDefault="00000000" w:rsidP="00E419F1">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B439" w14:textId="77777777" w:rsidR="00255D4A" w:rsidRDefault="00255D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F45D8" w14:textId="77777777" w:rsidR="00747F63" w:rsidRDefault="00747F63" w:rsidP="009C1068">
      <w:pPr>
        <w:spacing w:before="0" w:after="0"/>
      </w:pPr>
      <w:r>
        <w:separator/>
      </w:r>
    </w:p>
  </w:footnote>
  <w:footnote w:type="continuationSeparator" w:id="0">
    <w:p w14:paraId="5A7CFCBE" w14:textId="77777777" w:rsidR="00747F63" w:rsidRDefault="00747F63" w:rsidP="009C1068">
      <w:pPr>
        <w:spacing w:before="0" w:after="0"/>
      </w:pPr>
      <w:r>
        <w:continuationSeparator/>
      </w:r>
    </w:p>
  </w:footnote>
  <w:footnote w:id="1">
    <w:p w14:paraId="6BA26CF3" w14:textId="77777777" w:rsidR="00D36BC0" w:rsidRPr="00CF66A9" w:rsidRDefault="00D36BC0" w:rsidP="00CF66A9">
      <w:pPr>
        <w:pStyle w:val="Textonotapie"/>
        <w:spacing w:after="0"/>
        <w:jc w:val="both"/>
        <w:rPr>
          <w:rFonts w:ascii="Arial" w:hAnsi="Arial" w:cs="Arial"/>
          <w:sz w:val="16"/>
          <w:szCs w:val="16"/>
          <w:lang w:val="es-MX"/>
        </w:rPr>
      </w:pPr>
      <w:r w:rsidRPr="00CF66A9">
        <w:rPr>
          <w:rStyle w:val="Refdenotaalpie"/>
          <w:rFonts w:ascii="Arial" w:hAnsi="Arial" w:cs="Arial"/>
          <w:sz w:val="16"/>
          <w:szCs w:val="16"/>
        </w:rPr>
        <w:footnoteRef/>
      </w:r>
      <w:r w:rsidRPr="00CF66A9">
        <w:rPr>
          <w:rFonts w:ascii="Arial" w:hAnsi="Arial" w:cs="Arial"/>
          <w:sz w:val="16"/>
          <w:szCs w:val="16"/>
        </w:rPr>
        <w:t xml:space="preserve"> Lo cual constituye un hecho notorio en términos</w:t>
      </w:r>
      <w:r w:rsidRPr="00CF66A9">
        <w:rPr>
          <w:rFonts w:ascii="Arial" w:hAnsi="Arial" w:cs="Arial"/>
          <w:sz w:val="16"/>
          <w:szCs w:val="16"/>
          <w:lang w:val="es-MX"/>
        </w:rPr>
        <w:t xml:space="preserve"> del artículo 309 del Código Electoral del Estado de Aguascalientes; y, del criterio de la Suprema Corte de Justicia de la Nación, con número de Registro digital: 2004949, Instancia: Tribunales Colegiados de Circuito, Décima Época, Materias(s): Civil, Común, del Semanario Judicial de la Federación y su Gaceta. Libro XXVI, </w:t>
      </w:r>
      <w:proofErr w:type="gramStart"/>
      <w:r w:rsidRPr="00CF66A9">
        <w:rPr>
          <w:rFonts w:ascii="Arial" w:hAnsi="Arial" w:cs="Arial"/>
          <w:sz w:val="16"/>
          <w:szCs w:val="16"/>
          <w:lang w:val="es-MX"/>
        </w:rPr>
        <w:t>Noviembre</w:t>
      </w:r>
      <w:proofErr w:type="gramEnd"/>
      <w:r w:rsidRPr="00CF66A9">
        <w:rPr>
          <w:rFonts w:ascii="Arial" w:hAnsi="Arial" w:cs="Arial"/>
          <w:sz w:val="16"/>
          <w:szCs w:val="16"/>
          <w:lang w:val="es-MX"/>
        </w:rPr>
        <w:t xml:space="preserve"> de 2013, Tomo 2, página 1373, </w:t>
      </w:r>
      <w:r w:rsidRPr="00CF66A9">
        <w:rPr>
          <w:rFonts w:ascii="Arial" w:hAnsi="Arial" w:cs="Arial"/>
          <w:sz w:val="16"/>
          <w:szCs w:val="16"/>
        </w:rPr>
        <w:t xml:space="preserve">de rubro </w:t>
      </w:r>
      <w:r w:rsidRPr="00CF66A9">
        <w:rPr>
          <w:rFonts w:ascii="Arial" w:hAnsi="Arial" w:cs="Arial"/>
          <w:b/>
          <w:bCs/>
          <w:sz w:val="16"/>
          <w:szCs w:val="16"/>
        </w:rPr>
        <w:t>“</w:t>
      </w:r>
      <w:r w:rsidRPr="00CF66A9">
        <w:rPr>
          <w:rFonts w:ascii="Arial" w:hAnsi="Arial" w:cs="Arial"/>
          <w:b/>
          <w:bCs/>
          <w:i/>
          <w:iCs/>
          <w:sz w:val="16"/>
          <w:szCs w:val="16"/>
        </w:rPr>
        <w:t>PÁGINAS WEB O ELECTRÓNICAS. SU CONTENIDO ES UN HECHO NOTORIO Y SUSCEPTIBLE DE SER VALORADO EN UNA DECISIÓN JUDICIAL”.</w:t>
      </w:r>
    </w:p>
  </w:footnote>
  <w:footnote w:id="2">
    <w:p w14:paraId="0D38712E" w14:textId="67E23AD8" w:rsidR="00004191" w:rsidRPr="00CF66A9" w:rsidRDefault="00004191" w:rsidP="00CF66A9">
      <w:pPr>
        <w:pStyle w:val="Textonotapie"/>
        <w:spacing w:after="0"/>
        <w:jc w:val="both"/>
        <w:rPr>
          <w:rFonts w:ascii="Arial" w:hAnsi="Arial" w:cs="Arial"/>
          <w:sz w:val="16"/>
          <w:szCs w:val="16"/>
        </w:rPr>
      </w:pPr>
      <w:r w:rsidRPr="00CF66A9">
        <w:rPr>
          <w:rStyle w:val="Refdenotaalpie"/>
          <w:rFonts w:ascii="Arial" w:hAnsi="Arial" w:cs="Arial"/>
          <w:sz w:val="16"/>
          <w:szCs w:val="16"/>
        </w:rPr>
        <w:footnoteRef/>
      </w:r>
      <w:r w:rsidRPr="00CF66A9">
        <w:rPr>
          <w:rFonts w:ascii="Arial" w:hAnsi="Arial" w:cs="Arial"/>
          <w:sz w:val="16"/>
          <w:szCs w:val="16"/>
        </w:rPr>
        <w:t xml:space="preserve"> Disponible para su consulta en </w:t>
      </w:r>
      <w:hyperlink r:id="rId1" w:history="1">
        <w:r w:rsidRPr="00CF66A9">
          <w:rPr>
            <w:rStyle w:val="Hipervnculo"/>
            <w:color w:val="auto"/>
            <w:sz w:val="16"/>
            <w:szCs w:val="16"/>
          </w:rPr>
          <w:t>https://www.ieeags.mx/media/sesiones/2023-01-12/CG-A-01/23/2__CG-A-01-23_Financiamiento_PP_2023.pdf</w:t>
        </w:r>
      </w:hyperlink>
      <w:r w:rsidRPr="00CF66A9">
        <w:rPr>
          <w:rFonts w:ascii="Arial" w:hAnsi="Arial" w:cs="Arial"/>
          <w:sz w:val="16"/>
          <w:szCs w:val="16"/>
        </w:rPr>
        <w:t xml:space="preserve"> </w:t>
      </w:r>
    </w:p>
  </w:footnote>
  <w:footnote w:id="3">
    <w:p w14:paraId="45FFB04F" w14:textId="73B6C1D5" w:rsidR="00887942" w:rsidRPr="00CF66A9" w:rsidRDefault="00887942" w:rsidP="00CF66A9">
      <w:pPr>
        <w:pStyle w:val="Textonotapie"/>
        <w:spacing w:after="0"/>
        <w:jc w:val="both"/>
        <w:rPr>
          <w:rFonts w:ascii="Arial" w:hAnsi="Arial" w:cs="Arial"/>
          <w:sz w:val="16"/>
          <w:szCs w:val="16"/>
        </w:rPr>
      </w:pPr>
      <w:r w:rsidRPr="00CF66A9">
        <w:rPr>
          <w:rStyle w:val="Refdenotaalpie"/>
          <w:rFonts w:ascii="Arial" w:hAnsi="Arial" w:cs="Arial"/>
          <w:sz w:val="16"/>
          <w:szCs w:val="16"/>
        </w:rPr>
        <w:footnoteRef/>
      </w:r>
      <w:r w:rsidRPr="00CF66A9">
        <w:rPr>
          <w:rFonts w:ascii="Arial" w:hAnsi="Arial" w:cs="Arial"/>
          <w:sz w:val="16"/>
          <w:szCs w:val="16"/>
        </w:rPr>
        <w:t xml:space="preserve"> Ver el enlace </w:t>
      </w:r>
      <w:hyperlink r:id="rId2" w:history="1">
        <w:r w:rsidRPr="00CF66A9">
          <w:rPr>
            <w:rStyle w:val="Hipervnculo"/>
            <w:color w:val="auto"/>
            <w:sz w:val="16"/>
            <w:szCs w:val="16"/>
          </w:rPr>
          <w:t>https://www.te.gob.mx/EE/SUP/2023/JRC/4/SUP_2023_JRC_4-1221347.pdf</w:t>
        </w:r>
      </w:hyperlink>
      <w:r w:rsidRPr="00CF66A9">
        <w:rPr>
          <w:rFonts w:ascii="Arial" w:hAnsi="Arial" w:cs="Arial"/>
          <w:sz w:val="16"/>
          <w:szCs w:val="16"/>
        </w:rPr>
        <w:t xml:space="preserve"> </w:t>
      </w:r>
    </w:p>
  </w:footnote>
  <w:footnote w:id="4">
    <w:p w14:paraId="38B5F931" w14:textId="523B834F" w:rsidR="00887942" w:rsidRPr="00CF66A9" w:rsidRDefault="00887942" w:rsidP="00CF66A9">
      <w:pPr>
        <w:pStyle w:val="Textonotapie"/>
        <w:spacing w:after="0"/>
        <w:jc w:val="both"/>
        <w:rPr>
          <w:rFonts w:ascii="Arial" w:hAnsi="Arial" w:cs="Arial"/>
          <w:sz w:val="16"/>
          <w:szCs w:val="16"/>
        </w:rPr>
      </w:pPr>
      <w:r w:rsidRPr="00CF66A9">
        <w:rPr>
          <w:rStyle w:val="Refdenotaalpie"/>
          <w:rFonts w:ascii="Arial" w:hAnsi="Arial" w:cs="Arial"/>
          <w:sz w:val="16"/>
          <w:szCs w:val="16"/>
        </w:rPr>
        <w:footnoteRef/>
      </w:r>
      <w:r w:rsidRPr="00CF66A9">
        <w:rPr>
          <w:rFonts w:ascii="Arial" w:hAnsi="Arial" w:cs="Arial"/>
          <w:sz w:val="16"/>
          <w:szCs w:val="16"/>
        </w:rPr>
        <w:t xml:space="preserve"> Ver la siguiente liga: </w:t>
      </w:r>
      <w:hyperlink r:id="rId3" w:history="1">
        <w:r w:rsidRPr="00CF66A9">
          <w:rPr>
            <w:rStyle w:val="Hipervnculo"/>
            <w:color w:val="auto"/>
            <w:sz w:val="16"/>
            <w:szCs w:val="16"/>
          </w:rPr>
          <w:t>http://teeags.mx/category/estrados-electronicos/?d=L1JlY3Vyc28gZGUgQXBlbGFjacOzbiAoUkFQKS9SQVBfMjAyMy9SQVBfMDAxXzIwMjM%3D&amp;m1dll_index_get=0</w:t>
        </w:r>
      </w:hyperlink>
      <w:r w:rsidRPr="00CF66A9">
        <w:rPr>
          <w:rFonts w:ascii="Arial" w:hAnsi="Arial" w:cs="Arial"/>
          <w:sz w:val="16"/>
          <w:szCs w:val="16"/>
        </w:rPr>
        <w:t xml:space="preserve"> </w:t>
      </w:r>
    </w:p>
  </w:footnote>
  <w:footnote w:id="5">
    <w:p w14:paraId="6C0625CD" w14:textId="0AC200F5" w:rsidR="00887942" w:rsidRPr="00CF66A9" w:rsidRDefault="00887942" w:rsidP="00CF66A9">
      <w:pPr>
        <w:pStyle w:val="Textonotapie"/>
        <w:spacing w:after="0"/>
        <w:jc w:val="both"/>
        <w:rPr>
          <w:rFonts w:ascii="Arial" w:hAnsi="Arial" w:cs="Arial"/>
          <w:sz w:val="16"/>
          <w:szCs w:val="16"/>
        </w:rPr>
      </w:pPr>
      <w:r w:rsidRPr="00CF66A9">
        <w:rPr>
          <w:rStyle w:val="Refdenotaalpie"/>
          <w:rFonts w:ascii="Arial" w:hAnsi="Arial" w:cs="Arial"/>
          <w:sz w:val="16"/>
          <w:szCs w:val="16"/>
        </w:rPr>
        <w:footnoteRef/>
      </w:r>
      <w:r w:rsidRPr="00CF66A9">
        <w:rPr>
          <w:rFonts w:ascii="Arial" w:hAnsi="Arial" w:cs="Arial"/>
          <w:sz w:val="16"/>
          <w:szCs w:val="16"/>
        </w:rPr>
        <w:t xml:space="preserve"> Ver </w:t>
      </w:r>
      <w:hyperlink r:id="rId4" w:history="1">
        <w:r w:rsidRPr="00CF66A9">
          <w:rPr>
            <w:rStyle w:val="Hipervnculo"/>
            <w:color w:val="auto"/>
            <w:sz w:val="16"/>
            <w:szCs w:val="16"/>
          </w:rPr>
          <w:t>https://www.te.gob.mx/EE/SUP/2023/JRC/4/SUP_2023_JRC_4-1219138.pdf</w:t>
        </w:r>
      </w:hyperlink>
      <w:r w:rsidRPr="00CF66A9">
        <w:rPr>
          <w:rFonts w:ascii="Arial" w:hAnsi="Arial" w:cs="Arial"/>
          <w:sz w:val="16"/>
          <w:szCs w:val="16"/>
        </w:rPr>
        <w:t xml:space="preserve"> </w:t>
      </w:r>
    </w:p>
  </w:footnote>
  <w:footnote w:id="6">
    <w:p w14:paraId="00AD4501" w14:textId="428E48D0" w:rsidR="00887942" w:rsidRPr="00CF66A9" w:rsidRDefault="00887942" w:rsidP="00CF66A9">
      <w:pPr>
        <w:pStyle w:val="Textonotapie"/>
        <w:spacing w:after="0"/>
        <w:jc w:val="both"/>
        <w:rPr>
          <w:rFonts w:ascii="Arial" w:hAnsi="Arial" w:cs="Arial"/>
          <w:sz w:val="16"/>
          <w:szCs w:val="16"/>
        </w:rPr>
      </w:pPr>
      <w:r w:rsidRPr="00CF66A9">
        <w:rPr>
          <w:rStyle w:val="Refdenotaalpie"/>
          <w:rFonts w:ascii="Arial" w:hAnsi="Arial" w:cs="Arial"/>
          <w:sz w:val="16"/>
          <w:szCs w:val="16"/>
        </w:rPr>
        <w:footnoteRef/>
      </w:r>
      <w:r w:rsidRPr="00CF66A9">
        <w:rPr>
          <w:rFonts w:ascii="Arial" w:hAnsi="Arial" w:cs="Arial"/>
          <w:sz w:val="16"/>
          <w:szCs w:val="16"/>
        </w:rPr>
        <w:t xml:space="preserve"> Ver </w:t>
      </w:r>
      <w:hyperlink r:id="rId5" w:history="1">
        <w:r w:rsidRPr="00CF66A9">
          <w:rPr>
            <w:rStyle w:val="Hipervnculo"/>
            <w:color w:val="auto"/>
            <w:sz w:val="16"/>
            <w:szCs w:val="16"/>
          </w:rPr>
          <w:t>https://www.te.gob.mx/EE/SM/2023/JRC/2/SM_2023_JRC_2-1221295.pdf</w:t>
        </w:r>
      </w:hyperlink>
      <w:r w:rsidRPr="00CF66A9">
        <w:rPr>
          <w:rFonts w:ascii="Arial" w:hAnsi="Arial" w:cs="Arial"/>
          <w:sz w:val="16"/>
          <w:szCs w:val="16"/>
        </w:rPr>
        <w:t xml:space="preserve"> </w:t>
      </w:r>
    </w:p>
  </w:footnote>
  <w:footnote w:id="7">
    <w:p w14:paraId="0518D83A" w14:textId="10BD74BB" w:rsidR="00887942" w:rsidRPr="00CF66A9" w:rsidRDefault="00887942" w:rsidP="00CF66A9">
      <w:pPr>
        <w:pStyle w:val="Textonotapie"/>
        <w:spacing w:after="0"/>
        <w:jc w:val="both"/>
        <w:rPr>
          <w:rFonts w:ascii="Arial" w:hAnsi="Arial" w:cs="Arial"/>
          <w:sz w:val="16"/>
          <w:szCs w:val="16"/>
        </w:rPr>
      </w:pPr>
      <w:r w:rsidRPr="00CF66A9">
        <w:rPr>
          <w:rStyle w:val="Refdenotaalpie"/>
          <w:rFonts w:ascii="Arial" w:hAnsi="Arial" w:cs="Arial"/>
          <w:sz w:val="16"/>
          <w:szCs w:val="16"/>
        </w:rPr>
        <w:footnoteRef/>
      </w:r>
      <w:r w:rsidRPr="00CF66A9">
        <w:rPr>
          <w:rFonts w:ascii="Arial" w:hAnsi="Arial" w:cs="Arial"/>
          <w:sz w:val="16"/>
          <w:szCs w:val="16"/>
        </w:rPr>
        <w:t xml:space="preserve"> Ver </w:t>
      </w:r>
      <w:hyperlink r:id="rId6" w:history="1">
        <w:r w:rsidRPr="00CF66A9">
          <w:rPr>
            <w:rStyle w:val="Hipervnculo"/>
            <w:color w:val="auto"/>
            <w:sz w:val="16"/>
            <w:szCs w:val="16"/>
          </w:rPr>
          <w:t>http://teeags.mx/category/estrados-electronicos/?d=L1JlY3Vyc28gZGUgQXBlbGFjacOzbiAoUkFQKS9SQVBfMjAyMy9SQVBfMDAxXzIwMjM%3D&amp;m1dll_index_get=0</w:t>
        </w:r>
      </w:hyperlink>
      <w:r w:rsidRPr="00CF66A9">
        <w:rPr>
          <w:rFonts w:ascii="Arial" w:hAnsi="Arial" w:cs="Arial"/>
          <w:sz w:val="16"/>
          <w:szCs w:val="16"/>
        </w:rPr>
        <w:t xml:space="preserve"> </w:t>
      </w:r>
    </w:p>
  </w:footnote>
  <w:footnote w:id="8">
    <w:p w14:paraId="6D7888A7" w14:textId="1D9FDE7A" w:rsidR="00887942" w:rsidRPr="00CF66A9" w:rsidRDefault="00887942" w:rsidP="00CF66A9">
      <w:pPr>
        <w:pStyle w:val="Textonotapie"/>
        <w:spacing w:after="0"/>
        <w:jc w:val="both"/>
        <w:rPr>
          <w:rFonts w:ascii="Arial" w:hAnsi="Arial" w:cs="Arial"/>
          <w:sz w:val="16"/>
          <w:szCs w:val="16"/>
        </w:rPr>
      </w:pPr>
      <w:r w:rsidRPr="00CF66A9">
        <w:rPr>
          <w:rStyle w:val="Refdenotaalpie"/>
          <w:rFonts w:ascii="Arial" w:hAnsi="Arial" w:cs="Arial"/>
          <w:sz w:val="16"/>
          <w:szCs w:val="16"/>
        </w:rPr>
        <w:footnoteRef/>
      </w:r>
      <w:r w:rsidRPr="00CF66A9">
        <w:rPr>
          <w:rFonts w:ascii="Arial" w:hAnsi="Arial" w:cs="Arial"/>
          <w:sz w:val="16"/>
          <w:szCs w:val="16"/>
        </w:rPr>
        <w:t xml:space="preserve"> Ver </w:t>
      </w:r>
      <w:hyperlink r:id="rId7" w:history="1">
        <w:r w:rsidRPr="00CF66A9">
          <w:rPr>
            <w:rStyle w:val="Hipervnculo"/>
            <w:color w:val="auto"/>
            <w:sz w:val="16"/>
            <w:szCs w:val="16"/>
          </w:rPr>
          <w:t>http://teeags.mx/category/estrados-electronicos/?d=L1JlY3Vyc28gZGUgQXBlbGFjacOzbiAoUkFQKS9SQVBfMjAyMy9SQVBfMDAyXzIwMjM%3D&amp;m1dll_index_get=0</w:t>
        </w:r>
      </w:hyperlink>
      <w:r w:rsidRPr="00CF66A9">
        <w:rPr>
          <w:rFonts w:ascii="Arial" w:hAnsi="Arial" w:cs="Arial"/>
          <w:sz w:val="16"/>
          <w:szCs w:val="16"/>
        </w:rPr>
        <w:t xml:space="preserve"> </w:t>
      </w:r>
    </w:p>
  </w:footnote>
  <w:footnote w:id="9">
    <w:p w14:paraId="495A9B12" w14:textId="77777777" w:rsidR="00004191" w:rsidRPr="00CF66A9" w:rsidRDefault="00004191" w:rsidP="00CF66A9">
      <w:pPr>
        <w:pStyle w:val="Textonotapie"/>
        <w:spacing w:after="0"/>
        <w:jc w:val="both"/>
        <w:rPr>
          <w:rFonts w:ascii="Arial" w:hAnsi="Arial" w:cs="Arial"/>
          <w:sz w:val="16"/>
          <w:szCs w:val="16"/>
        </w:rPr>
      </w:pPr>
      <w:r w:rsidRPr="00CF66A9">
        <w:rPr>
          <w:rStyle w:val="Refdenotaalpie"/>
          <w:rFonts w:ascii="Arial" w:hAnsi="Arial" w:cs="Arial"/>
          <w:sz w:val="16"/>
          <w:szCs w:val="16"/>
        </w:rPr>
        <w:footnoteRef/>
      </w:r>
      <w:r w:rsidRPr="00CF66A9">
        <w:rPr>
          <w:rFonts w:ascii="Arial" w:hAnsi="Arial" w:cs="Arial"/>
          <w:sz w:val="16"/>
          <w:szCs w:val="16"/>
        </w:rPr>
        <w:t xml:space="preserve"> Disponible en </w:t>
      </w:r>
      <w:hyperlink r:id="rId8" w:history="1">
        <w:r w:rsidRPr="00CF66A9">
          <w:rPr>
            <w:rStyle w:val="Hipervnculo"/>
            <w:color w:val="auto"/>
            <w:sz w:val="16"/>
            <w:szCs w:val="16"/>
          </w:rPr>
          <w:t>https://www.ieeags.mx/media/sesiones/2023-02-20/CG-A-06/23/2__CG-A-06-23_Financiamiento_2_PP_2023.pdf</w:t>
        </w:r>
      </w:hyperlink>
      <w:r w:rsidRPr="00CF66A9">
        <w:rPr>
          <w:rFonts w:ascii="Arial" w:hAnsi="Arial" w:cs="Arial"/>
          <w:sz w:val="16"/>
          <w:szCs w:val="16"/>
        </w:rPr>
        <w:t xml:space="preserve"> </w:t>
      </w:r>
    </w:p>
  </w:footnote>
  <w:footnote w:id="10">
    <w:p w14:paraId="7D66FAC2" w14:textId="3E704A3C" w:rsidR="00887942" w:rsidRPr="00CF66A9" w:rsidRDefault="00887942" w:rsidP="00CF66A9">
      <w:pPr>
        <w:pStyle w:val="Textonotapie"/>
        <w:spacing w:after="0"/>
        <w:jc w:val="both"/>
        <w:rPr>
          <w:rFonts w:ascii="Arial" w:hAnsi="Arial" w:cs="Arial"/>
          <w:sz w:val="16"/>
          <w:szCs w:val="16"/>
        </w:rPr>
      </w:pPr>
      <w:r w:rsidRPr="00CF66A9">
        <w:rPr>
          <w:rStyle w:val="Refdenotaalpie"/>
          <w:rFonts w:ascii="Arial" w:hAnsi="Arial" w:cs="Arial"/>
          <w:sz w:val="16"/>
          <w:szCs w:val="16"/>
        </w:rPr>
        <w:footnoteRef/>
      </w:r>
      <w:r w:rsidRPr="00CF66A9">
        <w:rPr>
          <w:rFonts w:ascii="Arial" w:hAnsi="Arial" w:cs="Arial"/>
          <w:sz w:val="16"/>
          <w:szCs w:val="16"/>
        </w:rPr>
        <w:t xml:space="preserve"> Ver </w:t>
      </w:r>
      <w:hyperlink r:id="rId9" w:history="1">
        <w:r w:rsidRPr="00CF66A9">
          <w:rPr>
            <w:rStyle w:val="Hipervnculo"/>
            <w:color w:val="auto"/>
            <w:sz w:val="16"/>
            <w:szCs w:val="16"/>
          </w:rPr>
          <w:t>http://teeags.mx/estrados/autos-y-o-acuerdos/Recurso%20de%20Apelaci%C3%B3n%20(RAP)/RAP_2023/RAP_001_2023/6.%20Acuerdo%20de%20cumplimiento%20TEEA-RAP-001-2023%20(3).pdf</w:t>
        </w:r>
      </w:hyperlink>
      <w:r w:rsidRPr="00CF66A9">
        <w:rPr>
          <w:rFonts w:ascii="Arial" w:hAnsi="Arial" w:cs="Arial"/>
          <w:sz w:val="16"/>
          <w:szCs w:val="16"/>
        </w:rPr>
        <w:t xml:space="preserve"> </w:t>
      </w:r>
    </w:p>
  </w:footnote>
  <w:footnote w:id="11">
    <w:p w14:paraId="583B61A6" w14:textId="28DB24E9" w:rsidR="00887942" w:rsidRPr="00CF66A9" w:rsidRDefault="00887942" w:rsidP="00CF66A9">
      <w:pPr>
        <w:pStyle w:val="Textonotapie"/>
        <w:spacing w:after="0"/>
        <w:jc w:val="both"/>
        <w:rPr>
          <w:rFonts w:ascii="Arial" w:hAnsi="Arial" w:cs="Arial"/>
          <w:sz w:val="16"/>
          <w:szCs w:val="16"/>
        </w:rPr>
      </w:pPr>
      <w:r w:rsidRPr="00CF66A9">
        <w:rPr>
          <w:rStyle w:val="Refdenotaalpie"/>
          <w:rFonts w:ascii="Arial" w:hAnsi="Arial" w:cs="Arial"/>
          <w:sz w:val="16"/>
          <w:szCs w:val="16"/>
        </w:rPr>
        <w:footnoteRef/>
      </w:r>
      <w:r w:rsidR="00CF66A9">
        <w:rPr>
          <w:rFonts w:ascii="Arial" w:hAnsi="Arial" w:cs="Arial"/>
          <w:sz w:val="16"/>
          <w:szCs w:val="16"/>
        </w:rPr>
        <w:t xml:space="preserve"> </w:t>
      </w:r>
      <w:r w:rsidRPr="00CF66A9">
        <w:rPr>
          <w:rFonts w:ascii="Arial" w:hAnsi="Arial" w:cs="Arial"/>
          <w:sz w:val="16"/>
          <w:szCs w:val="16"/>
        </w:rPr>
        <w:t xml:space="preserve">Ver </w:t>
      </w:r>
      <w:hyperlink r:id="rId10" w:history="1">
        <w:r w:rsidRPr="00CF66A9">
          <w:rPr>
            <w:rStyle w:val="Hipervnculo"/>
            <w:color w:val="auto"/>
            <w:sz w:val="16"/>
            <w:szCs w:val="16"/>
          </w:rPr>
          <w:t>http://teeags.mx/category/estrados-electronicos/?d=L1JlY3Vyc28gZGUgQXBlbGFjacOzbiAoUkFQKS9SQVBfMjAyMy9SQVBfMDAyXzIwMjM%3D&amp;m1dll_index_get=0</w:t>
        </w:r>
      </w:hyperlink>
      <w:r w:rsidRPr="00CF66A9">
        <w:rPr>
          <w:rFonts w:ascii="Arial" w:hAnsi="Arial" w:cs="Arial"/>
          <w:sz w:val="16"/>
          <w:szCs w:val="16"/>
        </w:rPr>
        <w:t xml:space="preserve"> </w:t>
      </w:r>
    </w:p>
  </w:footnote>
  <w:footnote w:id="12">
    <w:p w14:paraId="60236463" w14:textId="01A4DAA1" w:rsidR="00887942" w:rsidRPr="00CF66A9" w:rsidRDefault="00887942" w:rsidP="00CF66A9">
      <w:pPr>
        <w:pStyle w:val="Textonotapie"/>
        <w:spacing w:after="0"/>
        <w:jc w:val="both"/>
        <w:rPr>
          <w:rFonts w:ascii="Arial" w:hAnsi="Arial" w:cs="Arial"/>
          <w:sz w:val="16"/>
          <w:szCs w:val="16"/>
        </w:rPr>
      </w:pPr>
      <w:r w:rsidRPr="00CF66A9">
        <w:rPr>
          <w:rStyle w:val="Refdenotaalpie"/>
          <w:rFonts w:ascii="Arial" w:hAnsi="Arial" w:cs="Arial"/>
          <w:sz w:val="16"/>
          <w:szCs w:val="16"/>
        </w:rPr>
        <w:footnoteRef/>
      </w:r>
      <w:r w:rsidRPr="00CF66A9">
        <w:rPr>
          <w:rFonts w:ascii="Arial" w:hAnsi="Arial" w:cs="Arial"/>
          <w:sz w:val="16"/>
          <w:szCs w:val="16"/>
        </w:rPr>
        <w:t xml:space="preserve"> Ver </w:t>
      </w:r>
      <w:hyperlink r:id="rId11" w:history="1">
        <w:r w:rsidRPr="00CF66A9">
          <w:rPr>
            <w:rStyle w:val="Hipervnculo"/>
            <w:color w:val="auto"/>
            <w:sz w:val="16"/>
            <w:szCs w:val="16"/>
          </w:rPr>
          <w:t>https://www.te.gob.mx/EE/SM/2023/JRC/3/SM_2023_JRC_3-1231768.pdf</w:t>
        </w:r>
      </w:hyperlink>
      <w:r w:rsidRPr="00CF66A9">
        <w:rPr>
          <w:rFonts w:ascii="Arial" w:hAnsi="Arial" w:cs="Arial"/>
          <w:sz w:val="16"/>
          <w:szCs w:val="16"/>
        </w:rPr>
        <w:t xml:space="preserve"> </w:t>
      </w:r>
    </w:p>
  </w:footnote>
  <w:footnote w:id="13">
    <w:p w14:paraId="12E9D60E" w14:textId="32380A1A" w:rsidR="00887942" w:rsidRPr="00CF66A9" w:rsidRDefault="00887942" w:rsidP="00CF66A9">
      <w:pPr>
        <w:pStyle w:val="Textonotapie"/>
        <w:spacing w:after="0"/>
        <w:jc w:val="both"/>
        <w:rPr>
          <w:rFonts w:ascii="Arial" w:hAnsi="Arial" w:cs="Arial"/>
          <w:sz w:val="16"/>
          <w:szCs w:val="16"/>
        </w:rPr>
      </w:pPr>
      <w:r w:rsidRPr="00CF66A9">
        <w:rPr>
          <w:rStyle w:val="Refdenotaalpie"/>
          <w:rFonts w:ascii="Arial" w:hAnsi="Arial" w:cs="Arial"/>
          <w:sz w:val="16"/>
          <w:szCs w:val="16"/>
        </w:rPr>
        <w:footnoteRef/>
      </w:r>
      <w:r w:rsidRPr="00CF66A9">
        <w:rPr>
          <w:rFonts w:ascii="Arial" w:hAnsi="Arial" w:cs="Arial"/>
          <w:sz w:val="16"/>
          <w:szCs w:val="16"/>
        </w:rPr>
        <w:t xml:space="preserve"> Ver </w:t>
      </w:r>
      <w:hyperlink r:id="rId12" w:history="1">
        <w:r w:rsidRPr="00CF66A9">
          <w:rPr>
            <w:rStyle w:val="Hipervnculo"/>
            <w:color w:val="auto"/>
            <w:sz w:val="16"/>
            <w:szCs w:val="16"/>
          </w:rPr>
          <w:t>http://teeags.mx/estrados/autos-y-o-acuerdos/Recurso%20de%20Apelaci%C3%B3n%20(RAP)/RAP_2023/RAP_007_2023/2.%20ACUERDO%20DE%20TURNO_RAP.pdf</w:t>
        </w:r>
      </w:hyperlink>
      <w:r w:rsidRPr="00CF66A9">
        <w:rPr>
          <w:rFonts w:ascii="Arial" w:hAnsi="Arial" w:cs="Arial"/>
          <w:sz w:val="16"/>
          <w:szCs w:val="16"/>
        </w:rPr>
        <w:t xml:space="preserve"> </w:t>
      </w:r>
    </w:p>
  </w:footnote>
  <w:footnote w:id="14">
    <w:p w14:paraId="75C079FF" w14:textId="77777777" w:rsidR="009C1068" w:rsidRPr="00CF66A9" w:rsidRDefault="009C1068" w:rsidP="00CF66A9">
      <w:pPr>
        <w:spacing w:after="0"/>
        <w:jc w:val="both"/>
        <w:rPr>
          <w:rFonts w:ascii="Arial" w:hAnsi="Arial" w:cs="Arial"/>
          <w:sz w:val="16"/>
          <w:szCs w:val="16"/>
        </w:rPr>
      </w:pPr>
      <w:r w:rsidRPr="00CF66A9">
        <w:rPr>
          <w:rStyle w:val="Refdenotaalpie"/>
          <w:rFonts w:ascii="Arial" w:hAnsi="Arial" w:cs="Arial"/>
          <w:sz w:val="16"/>
          <w:szCs w:val="16"/>
        </w:rPr>
        <w:footnoteRef/>
      </w:r>
      <w:r w:rsidRPr="00CF66A9">
        <w:rPr>
          <w:rFonts w:ascii="Arial" w:hAnsi="Arial" w:cs="Arial"/>
          <w:sz w:val="16"/>
          <w:szCs w:val="16"/>
        </w:rPr>
        <w:t xml:space="preserve"> Artículos 116</w:t>
      </w:r>
      <w:r w:rsidRPr="00CF66A9">
        <w:rPr>
          <w:rFonts w:ascii="Arial" w:hAnsi="Arial" w:cs="Arial"/>
          <w:sz w:val="16"/>
          <w:szCs w:val="16"/>
          <w:lang w:val="es-MX"/>
        </w:rPr>
        <w:t>, fracción IV, inciso c, párrafo quinto, e inciso l, de la Constitución Política de los Estados Unidos Mexicanos y 17, apartado B, párrafos primero y quince, de la Constitución Política del Estado de Aguascalientes.</w:t>
      </w:r>
    </w:p>
  </w:footnote>
  <w:footnote w:id="15">
    <w:p w14:paraId="741534C1" w14:textId="74FD8901" w:rsidR="009C1068" w:rsidRPr="00CF66A9" w:rsidRDefault="009C1068" w:rsidP="00CF66A9">
      <w:pPr>
        <w:pStyle w:val="Textonotapie"/>
        <w:spacing w:after="0"/>
        <w:jc w:val="both"/>
        <w:rPr>
          <w:rFonts w:ascii="Arial" w:hAnsi="Arial" w:cs="Arial"/>
          <w:sz w:val="16"/>
          <w:szCs w:val="16"/>
          <w:lang w:val="es-MX"/>
        </w:rPr>
      </w:pPr>
      <w:r w:rsidRPr="00CF66A9">
        <w:rPr>
          <w:rStyle w:val="Refdenotaalpie"/>
          <w:rFonts w:ascii="Arial" w:hAnsi="Arial" w:cs="Arial"/>
          <w:sz w:val="16"/>
          <w:szCs w:val="16"/>
        </w:rPr>
        <w:footnoteRef/>
      </w:r>
      <w:r w:rsidRPr="00CF66A9">
        <w:rPr>
          <w:rFonts w:ascii="Arial" w:hAnsi="Arial" w:cs="Arial"/>
          <w:sz w:val="16"/>
          <w:szCs w:val="16"/>
        </w:rPr>
        <w:t xml:space="preserve"> </w:t>
      </w:r>
      <w:r w:rsidR="00590850" w:rsidRPr="00CF66A9">
        <w:rPr>
          <w:rFonts w:ascii="Arial" w:hAnsi="Arial" w:cs="Arial"/>
          <w:sz w:val="16"/>
          <w:szCs w:val="16"/>
        </w:rPr>
        <w:t>Artículos 297, fracción II; 335, fracción II; 336 y 337 del Código Electoral</w:t>
      </w:r>
      <w:r w:rsidR="00590850" w:rsidRPr="00CF66A9">
        <w:rPr>
          <w:rFonts w:ascii="Arial" w:hAnsi="Arial" w:cs="Arial"/>
          <w:sz w:val="16"/>
          <w:szCs w:val="16"/>
          <w:lang w:val="es-MX"/>
        </w:rPr>
        <w:t xml:space="preserve"> del Estado de Aguascalientes </w:t>
      </w:r>
      <w:r w:rsidRPr="00CF66A9">
        <w:rPr>
          <w:rFonts w:ascii="Arial" w:hAnsi="Arial" w:cs="Arial"/>
          <w:sz w:val="16"/>
          <w:szCs w:val="16"/>
          <w:lang w:val="es-MX"/>
        </w:rPr>
        <w:t>y 9°</w:t>
      </w:r>
      <w:r w:rsidR="00590850" w:rsidRPr="00CF66A9">
        <w:rPr>
          <w:rFonts w:ascii="Arial" w:hAnsi="Arial" w:cs="Arial"/>
          <w:sz w:val="16"/>
          <w:szCs w:val="16"/>
          <w:lang w:val="es-MX"/>
        </w:rPr>
        <w:t xml:space="preserve"> y 11</w:t>
      </w:r>
      <w:r w:rsidRPr="00CF66A9">
        <w:rPr>
          <w:rFonts w:ascii="Arial" w:hAnsi="Arial" w:cs="Arial"/>
          <w:sz w:val="16"/>
          <w:szCs w:val="16"/>
          <w:lang w:val="es-MX"/>
        </w:rPr>
        <w:t xml:space="preserve"> del Reglamento Interior del Tribunal Electoral del Estado de Aguascalientes.</w:t>
      </w:r>
    </w:p>
  </w:footnote>
  <w:footnote w:id="16">
    <w:p w14:paraId="6DEC36CE" w14:textId="314006C8" w:rsidR="001B533F" w:rsidRPr="00CF66A9" w:rsidRDefault="001B533F" w:rsidP="00CF66A9">
      <w:pPr>
        <w:pStyle w:val="Textonotapie"/>
        <w:spacing w:after="0"/>
        <w:jc w:val="both"/>
        <w:rPr>
          <w:rFonts w:ascii="Arial" w:hAnsi="Arial" w:cs="Arial"/>
          <w:sz w:val="16"/>
          <w:szCs w:val="16"/>
          <w:lang w:val="es-MX"/>
        </w:rPr>
      </w:pPr>
      <w:r w:rsidRPr="00CF66A9">
        <w:rPr>
          <w:rStyle w:val="Refdenotaalpie"/>
          <w:rFonts w:ascii="Arial" w:hAnsi="Arial" w:cs="Arial"/>
          <w:sz w:val="16"/>
          <w:szCs w:val="16"/>
        </w:rPr>
        <w:footnoteRef/>
      </w:r>
      <w:r w:rsidRPr="00CF66A9">
        <w:rPr>
          <w:rFonts w:ascii="Arial" w:hAnsi="Arial" w:cs="Arial"/>
          <w:sz w:val="16"/>
          <w:szCs w:val="16"/>
        </w:rPr>
        <w:t xml:space="preserve"> </w:t>
      </w:r>
      <w:r w:rsidR="00534A5B" w:rsidRPr="00CF66A9">
        <w:rPr>
          <w:rFonts w:ascii="Arial" w:hAnsi="Arial" w:cs="Arial"/>
          <w:sz w:val="16"/>
          <w:szCs w:val="16"/>
        </w:rPr>
        <w:t xml:space="preserve">Ver </w:t>
      </w:r>
      <w:hyperlink r:id="rId13" w:history="1">
        <w:r w:rsidR="00534A5B" w:rsidRPr="00CF66A9">
          <w:rPr>
            <w:rStyle w:val="Hipervnculo"/>
            <w:color w:val="auto"/>
            <w:sz w:val="16"/>
            <w:szCs w:val="16"/>
          </w:rPr>
          <w:t>http://teeags.mx/category/estrados-electronicos/?d=L1JlY3Vyc28gZGUgQXBlbGFjacOzbiAoUkFQKS9SQVBfMjAyMy9SQVBfMDAyXzIwMjM%3D&amp;m1dll_index_get=0</w:t>
        </w:r>
      </w:hyperlink>
      <w:r w:rsidR="00534A5B" w:rsidRPr="00CF66A9">
        <w:rPr>
          <w:rFonts w:ascii="Arial" w:hAnsi="Arial" w:cs="Arial"/>
          <w:sz w:val="16"/>
          <w:szCs w:val="16"/>
        </w:rPr>
        <w:t xml:space="preserve"> </w:t>
      </w:r>
    </w:p>
  </w:footnote>
  <w:footnote w:id="17">
    <w:p w14:paraId="2620266D" w14:textId="7F232C29" w:rsidR="00BE65E0" w:rsidRPr="00CF66A9" w:rsidRDefault="00BE65E0" w:rsidP="00CF66A9">
      <w:pPr>
        <w:pStyle w:val="Textonotapie"/>
        <w:spacing w:after="0"/>
        <w:jc w:val="both"/>
        <w:rPr>
          <w:rFonts w:ascii="Arial" w:hAnsi="Arial" w:cs="Arial"/>
          <w:sz w:val="16"/>
          <w:szCs w:val="16"/>
          <w:lang w:val="es-MX"/>
        </w:rPr>
      </w:pPr>
      <w:r w:rsidRPr="00CF66A9">
        <w:rPr>
          <w:rStyle w:val="Refdenotaalpie"/>
          <w:rFonts w:ascii="Arial" w:hAnsi="Arial" w:cs="Arial"/>
          <w:sz w:val="16"/>
          <w:szCs w:val="16"/>
        </w:rPr>
        <w:footnoteRef/>
      </w:r>
      <w:r w:rsidRPr="00CF66A9">
        <w:rPr>
          <w:rFonts w:ascii="Arial" w:hAnsi="Arial" w:cs="Arial"/>
          <w:sz w:val="16"/>
          <w:szCs w:val="16"/>
        </w:rPr>
        <w:t xml:space="preserve"> </w:t>
      </w:r>
      <w:r w:rsidR="00534A5B" w:rsidRPr="00CF66A9">
        <w:rPr>
          <w:rFonts w:ascii="Arial" w:hAnsi="Arial" w:cs="Arial"/>
          <w:sz w:val="16"/>
          <w:szCs w:val="16"/>
        </w:rPr>
        <w:t xml:space="preserve">Ver </w:t>
      </w:r>
      <w:hyperlink r:id="rId14" w:history="1">
        <w:r w:rsidR="00534A5B" w:rsidRPr="00CF66A9">
          <w:rPr>
            <w:rStyle w:val="Hipervnculo"/>
            <w:color w:val="auto"/>
            <w:sz w:val="16"/>
            <w:szCs w:val="16"/>
          </w:rPr>
          <w:t>https://www.te.gob.mx/EE/SUP/2023/JRC/4/SUP_2023_JRC_4-1219138.pdf</w:t>
        </w:r>
      </w:hyperlink>
      <w:r w:rsidR="00534A5B" w:rsidRPr="00CF66A9">
        <w:rPr>
          <w:rFonts w:ascii="Arial" w:hAnsi="Arial" w:cs="Arial"/>
          <w:sz w:val="16"/>
          <w:szCs w:val="16"/>
        </w:rPr>
        <w:t xml:space="preserve"> </w:t>
      </w:r>
    </w:p>
  </w:footnote>
  <w:footnote w:id="18">
    <w:p w14:paraId="226B4C42" w14:textId="7ECA66BE" w:rsidR="00BE65E0" w:rsidRPr="00CF66A9" w:rsidRDefault="00BE65E0" w:rsidP="00CF66A9">
      <w:pPr>
        <w:pStyle w:val="Textonotapie"/>
        <w:spacing w:after="0"/>
        <w:jc w:val="both"/>
        <w:rPr>
          <w:rFonts w:ascii="Arial" w:hAnsi="Arial" w:cs="Arial"/>
          <w:sz w:val="16"/>
          <w:szCs w:val="16"/>
          <w:lang w:val="es-MX"/>
        </w:rPr>
      </w:pPr>
      <w:r w:rsidRPr="00CF66A9">
        <w:rPr>
          <w:rStyle w:val="Refdenotaalpie"/>
          <w:rFonts w:ascii="Arial" w:hAnsi="Arial" w:cs="Arial"/>
          <w:sz w:val="16"/>
          <w:szCs w:val="16"/>
        </w:rPr>
        <w:footnoteRef/>
      </w:r>
      <w:r w:rsidRPr="00CF66A9">
        <w:rPr>
          <w:rFonts w:ascii="Arial" w:hAnsi="Arial" w:cs="Arial"/>
          <w:sz w:val="16"/>
          <w:szCs w:val="16"/>
        </w:rPr>
        <w:t xml:space="preserve"> </w:t>
      </w:r>
      <w:r w:rsidR="00534A5B" w:rsidRPr="00CF66A9">
        <w:rPr>
          <w:rFonts w:ascii="Arial" w:hAnsi="Arial" w:cs="Arial"/>
          <w:sz w:val="16"/>
          <w:szCs w:val="16"/>
        </w:rPr>
        <w:t xml:space="preserve">Ver </w:t>
      </w:r>
      <w:hyperlink r:id="rId15" w:history="1">
        <w:r w:rsidR="00534A5B" w:rsidRPr="00CF66A9">
          <w:rPr>
            <w:rStyle w:val="Hipervnculo"/>
            <w:color w:val="auto"/>
            <w:sz w:val="16"/>
            <w:szCs w:val="16"/>
          </w:rPr>
          <w:t>https://www.te.gob.mx/EE/SM/2023/JRC/2/SM_2023_JRC_2-1221295.pdf</w:t>
        </w:r>
      </w:hyperlink>
      <w:r w:rsidR="00534A5B" w:rsidRPr="00CF66A9">
        <w:rPr>
          <w:rFonts w:ascii="Arial" w:hAnsi="Arial" w:cs="Arial"/>
          <w:sz w:val="16"/>
          <w:szCs w:val="16"/>
        </w:rPr>
        <w:t xml:space="preserve"> </w:t>
      </w:r>
    </w:p>
  </w:footnote>
  <w:footnote w:id="19">
    <w:p w14:paraId="5FF2E0CD" w14:textId="77777777" w:rsidR="003600C8" w:rsidRPr="00CF66A9" w:rsidRDefault="003600C8" w:rsidP="00CF66A9">
      <w:pPr>
        <w:pStyle w:val="Textonotapie"/>
        <w:spacing w:after="0"/>
        <w:jc w:val="both"/>
        <w:rPr>
          <w:rFonts w:ascii="Arial" w:hAnsi="Arial" w:cs="Arial"/>
          <w:sz w:val="16"/>
          <w:szCs w:val="16"/>
        </w:rPr>
      </w:pPr>
      <w:r w:rsidRPr="00CF66A9">
        <w:rPr>
          <w:rStyle w:val="Refdenotaalpie"/>
          <w:rFonts w:ascii="Arial" w:hAnsi="Arial" w:cs="Arial"/>
          <w:sz w:val="16"/>
          <w:szCs w:val="16"/>
        </w:rPr>
        <w:footnoteRef/>
      </w:r>
      <w:r w:rsidRPr="00CF66A9">
        <w:rPr>
          <w:rFonts w:ascii="Arial" w:hAnsi="Arial" w:cs="Arial"/>
          <w:sz w:val="16"/>
          <w:szCs w:val="16"/>
        </w:rPr>
        <w:t xml:space="preserve"> Disponible en </w:t>
      </w:r>
      <w:hyperlink r:id="rId16" w:history="1">
        <w:r w:rsidRPr="00CF66A9">
          <w:rPr>
            <w:rStyle w:val="Hipervnculo"/>
            <w:color w:val="auto"/>
            <w:sz w:val="16"/>
            <w:szCs w:val="16"/>
          </w:rPr>
          <w:t>https://www.ieeags.mx/media/sesiones/2023-02-20/CG-A-06/23/2__CG-A-06-23_Financiamiento_2_PP_2023.pdf</w:t>
        </w:r>
      </w:hyperlink>
      <w:r w:rsidRPr="00CF66A9">
        <w:rPr>
          <w:rFonts w:ascii="Arial" w:hAnsi="Arial" w:cs="Arial"/>
          <w:sz w:val="16"/>
          <w:szCs w:val="16"/>
        </w:rPr>
        <w:t xml:space="preserve"> </w:t>
      </w:r>
    </w:p>
  </w:footnote>
  <w:footnote w:id="20">
    <w:p w14:paraId="2163B115" w14:textId="460BE8FD" w:rsidR="00CF66A9" w:rsidRPr="00CF66A9" w:rsidRDefault="00CF66A9" w:rsidP="00CF66A9">
      <w:pPr>
        <w:pStyle w:val="Textonotapie"/>
        <w:spacing w:after="0"/>
        <w:jc w:val="both"/>
        <w:rPr>
          <w:rFonts w:ascii="Arial" w:hAnsi="Arial" w:cs="Arial"/>
          <w:sz w:val="16"/>
          <w:szCs w:val="16"/>
        </w:rPr>
      </w:pPr>
      <w:r w:rsidRPr="00CF66A9">
        <w:rPr>
          <w:rStyle w:val="Refdenotaalpie"/>
          <w:rFonts w:ascii="Arial" w:hAnsi="Arial" w:cs="Arial"/>
          <w:sz w:val="16"/>
          <w:szCs w:val="16"/>
        </w:rPr>
        <w:footnoteRef/>
      </w:r>
      <w:r w:rsidRPr="00CF66A9">
        <w:rPr>
          <w:rFonts w:ascii="Arial" w:hAnsi="Arial" w:cs="Arial"/>
          <w:sz w:val="16"/>
          <w:szCs w:val="16"/>
        </w:rPr>
        <w:t xml:space="preserve"> </w:t>
      </w:r>
      <w:r w:rsidR="00807EEA">
        <w:rPr>
          <w:rFonts w:ascii="Arial" w:hAnsi="Arial" w:cs="Arial"/>
          <w:sz w:val="16"/>
          <w:szCs w:val="16"/>
        </w:rPr>
        <w:t xml:space="preserve">Ver </w:t>
      </w:r>
      <w:hyperlink r:id="rId17" w:history="1">
        <w:r w:rsidR="00807EEA" w:rsidRPr="00902F2E">
          <w:rPr>
            <w:rStyle w:val="Hipervnculo"/>
            <w:sz w:val="16"/>
            <w:szCs w:val="16"/>
          </w:rPr>
          <w:t>http://teeags.mx/estrados/autos-y-o-acuerdos/Recurso%20de%20Apelaci%C3%B3n%20(RAP)/RAP_2023/RAP_002_2023/5.%20CAUSA%20ESTADO%20Y%20SE%20ORDENA%20ARCHIVO%20RAP-002-2023.pdf</w:t>
        </w:r>
      </w:hyperlink>
      <w:r w:rsidR="00807EEA">
        <w:rPr>
          <w:rFonts w:ascii="Arial" w:hAnsi="Arial" w:cs="Arial"/>
          <w:sz w:val="16"/>
          <w:szCs w:val="16"/>
        </w:rPr>
        <w:t xml:space="preserve"> </w:t>
      </w:r>
    </w:p>
  </w:footnote>
  <w:footnote w:id="21">
    <w:p w14:paraId="1F1764BE" w14:textId="6EA5D39B" w:rsidR="00A618EE" w:rsidRPr="00CF66A9" w:rsidRDefault="00A618EE" w:rsidP="00CF66A9">
      <w:pPr>
        <w:pStyle w:val="Textonotapie"/>
        <w:spacing w:after="0"/>
        <w:jc w:val="both"/>
        <w:rPr>
          <w:rFonts w:ascii="Arial" w:hAnsi="Arial" w:cs="Arial"/>
          <w:sz w:val="16"/>
          <w:szCs w:val="16"/>
          <w:lang w:val="es-MX"/>
        </w:rPr>
      </w:pPr>
      <w:r w:rsidRPr="00CF66A9">
        <w:rPr>
          <w:rStyle w:val="Refdenotaalpie"/>
          <w:rFonts w:ascii="Arial" w:hAnsi="Arial" w:cs="Arial"/>
          <w:sz w:val="16"/>
          <w:szCs w:val="16"/>
        </w:rPr>
        <w:footnoteRef/>
      </w:r>
      <w:r w:rsidRPr="00CF66A9">
        <w:rPr>
          <w:rFonts w:ascii="Arial" w:hAnsi="Arial" w:cs="Arial"/>
          <w:sz w:val="16"/>
          <w:szCs w:val="16"/>
        </w:rPr>
        <w:t xml:space="preserve"> Tesis Aislada, de la </w:t>
      </w:r>
      <w:r w:rsidRPr="00CF66A9">
        <w:rPr>
          <w:rFonts w:ascii="Arial" w:hAnsi="Arial" w:cs="Arial"/>
          <w:smallCaps/>
          <w:sz w:val="16"/>
          <w:szCs w:val="16"/>
        </w:rPr>
        <w:t>Suprema Corte</w:t>
      </w:r>
      <w:r w:rsidRPr="00CF66A9">
        <w:rPr>
          <w:rFonts w:ascii="Arial" w:hAnsi="Arial" w:cs="Arial"/>
          <w:sz w:val="16"/>
          <w:szCs w:val="16"/>
        </w:rPr>
        <w:t xml:space="preserve">, con número de Registro digital: 241198, Tercera Sala, Séptima Época, del Semanario Judicial de la Federación. Volumen 97-102, Cuarta Parte, página 216, de rubro: </w:t>
      </w:r>
      <w:r w:rsidR="00CF66A9" w:rsidRPr="00CF66A9">
        <w:rPr>
          <w:rFonts w:ascii="Arial" w:hAnsi="Arial" w:cs="Arial"/>
          <w:sz w:val="16"/>
          <w:szCs w:val="16"/>
        </w:rPr>
        <w:t>“</w:t>
      </w:r>
      <w:r w:rsidRPr="00CF66A9">
        <w:rPr>
          <w:rFonts w:ascii="Arial" w:hAnsi="Arial" w:cs="Arial"/>
          <w:b/>
          <w:bCs/>
          <w:i/>
          <w:iCs/>
          <w:sz w:val="16"/>
          <w:szCs w:val="16"/>
        </w:rPr>
        <w:t>PRECLUSION. CONCEPTO Y CASOS EN QUE OPERA ESTE PRINCIPIO EN LA LEY PROCESAL MEXICANA</w:t>
      </w:r>
      <w:r w:rsidR="00CF66A9" w:rsidRPr="00CF66A9">
        <w:rPr>
          <w:rFonts w:ascii="Arial" w:hAnsi="Arial" w:cs="Arial"/>
          <w:b/>
          <w:bCs/>
          <w:i/>
          <w:iCs/>
          <w:sz w:val="16"/>
          <w:szCs w:val="16"/>
        </w:rPr>
        <w:t>”.</w:t>
      </w:r>
    </w:p>
  </w:footnote>
  <w:footnote w:id="22">
    <w:p w14:paraId="68F47A00" w14:textId="40D94D8D" w:rsidR="00CE5A23" w:rsidRPr="00CF66A9" w:rsidRDefault="0071722A" w:rsidP="00CF66A9">
      <w:pPr>
        <w:pStyle w:val="Textonotapie"/>
        <w:spacing w:after="0"/>
        <w:jc w:val="both"/>
        <w:rPr>
          <w:rFonts w:ascii="Arial" w:hAnsi="Arial" w:cs="Arial"/>
          <w:sz w:val="16"/>
          <w:szCs w:val="16"/>
        </w:rPr>
      </w:pPr>
      <w:r w:rsidRPr="00CF66A9">
        <w:rPr>
          <w:rStyle w:val="Refdenotaalpie"/>
          <w:rFonts w:ascii="Arial" w:hAnsi="Arial" w:cs="Arial"/>
          <w:sz w:val="16"/>
          <w:szCs w:val="16"/>
        </w:rPr>
        <w:footnoteRef/>
      </w:r>
      <w:r w:rsidR="00CE5A23" w:rsidRPr="00CF66A9">
        <w:rPr>
          <w:rFonts w:ascii="Arial" w:hAnsi="Arial" w:cs="Arial"/>
          <w:sz w:val="16"/>
          <w:szCs w:val="16"/>
        </w:rPr>
        <w:t xml:space="preserve"> </w:t>
      </w:r>
      <w:r w:rsidR="00CF66A9" w:rsidRPr="00CF66A9">
        <w:rPr>
          <w:rFonts w:ascii="Arial" w:hAnsi="Arial" w:cs="Arial"/>
          <w:sz w:val="16"/>
          <w:szCs w:val="16"/>
        </w:rPr>
        <w:t xml:space="preserve">Ver </w:t>
      </w:r>
      <w:r w:rsidR="00CE5A23" w:rsidRPr="00CF66A9">
        <w:rPr>
          <w:rFonts w:ascii="Arial" w:hAnsi="Arial" w:cs="Arial"/>
          <w:sz w:val="16"/>
          <w:szCs w:val="16"/>
        </w:rPr>
        <w:t>Expediente SUP-JDC-1081/2017</w:t>
      </w:r>
      <w:r w:rsidR="00CF66A9" w:rsidRPr="00CF66A9">
        <w:rPr>
          <w:rFonts w:ascii="Arial" w:hAnsi="Arial" w:cs="Arial"/>
          <w:sz w:val="16"/>
          <w:szCs w:val="16"/>
        </w:rPr>
        <w:t>;</w:t>
      </w:r>
      <w:r w:rsidR="00CE5A23" w:rsidRPr="00CF66A9">
        <w:rPr>
          <w:rFonts w:ascii="Arial" w:hAnsi="Arial" w:cs="Arial"/>
          <w:sz w:val="16"/>
          <w:szCs w:val="16"/>
        </w:rPr>
        <w:t xml:space="preserve"> </w:t>
      </w:r>
      <w:r w:rsidR="00CF66A9" w:rsidRPr="00CF66A9">
        <w:rPr>
          <w:rFonts w:ascii="Arial" w:hAnsi="Arial" w:cs="Arial"/>
          <w:sz w:val="16"/>
          <w:szCs w:val="16"/>
        </w:rPr>
        <w:t>a</w:t>
      </w:r>
      <w:r w:rsidR="00CE5A23" w:rsidRPr="00CF66A9">
        <w:rPr>
          <w:rFonts w:ascii="Arial" w:hAnsi="Arial" w:cs="Arial"/>
          <w:sz w:val="16"/>
          <w:szCs w:val="16"/>
        </w:rPr>
        <w:t xml:space="preserve">simismo, cobra aplicación al respecto, la jurisprudencia 33/2015. </w:t>
      </w:r>
      <w:r w:rsidR="00CE5A23" w:rsidRPr="00CF66A9">
        <w:rPr>
          <w:rFonts w:ascii="Arial" w:hAnsi="Arial" w:cs="Arial"/>
          <w:b/>
          <w:i/>
          <w:sz w:val="16"/>
          <w:szCs w:val="16"/>
        </w:rPr>
        <w:t>“</w:t>
      </w:r>
      <w:r w:rsidR="00CE5A23" w:rsidRPr="00CF66A9">
        <w:rPr>
          <w:rFonts w:ascii="Arial" w:hAnsi="Arial" w:cs="Arial"/>
          <w:b/>
          <w:bCs/>
          <w:i/>
          <w:sz w:val="16"/>
          <w:szCs w:val="16"/>
        </w:rPr>
        <w:t>DERECHO A IMPUGNAR ACTOS ELECTORALES. LA RECEPCIÓN DE LA DEMANDA POR ÓRGANO OBLIGADO A INTERVENIR EN EL TRÁMITE O SUSTANCIACIÓN GENERA SU EXTINCIÓN POR AGOTAMIENTO</w:t>
      </w:r>
      <w:r w:rsidR="00CE5A23" w:rsidRPr="00CF66A9">
        <w:rPr>
          <w:rFonts w:ascii="Arial" w:hAnsi="Arial" w:cs="Arial"/>
          <w:b/>
          <w:i/>
          <w:sz w:val="16"/>
          <w:szCs w:val="16"/>
        </w:rPr>
        <w:t>”.</w:t>
      </w:r>
    </w:p>
  </w:footnote>
  <w:footnote w:id="23">
    <w:p w14:paraId="05F93043" w14:textId="43662736" w:rsidR="00CE5A23" w:rsidRPr="00CF66A9" w:rsidRDefault="00CE5A23" w:rsidP="00CF66A9">
      <w:pPr>
        <w:spacing w:after="0"/>
        <w:jc w:val="both"/>
        <w:rPr>
          <w:rFonts w:ascii="Arial" w:hAnsi="Arial" w:cs="Arial"/>
          <w:sz w:val="16"/>
          <w:szCs w:val="16"/>
        </w:rPr>
      </w:pPr>
      <w:r w:rsidRPr="00CF66A9">
        <w:rPr>
          <w:rStyle w:val="Refdenotaalpie"/>
          <w:rFonts w:ascii="Arial" w:hAnsi="Arial" w:cs="Arial"/>
          <w:sz w:val="16"/>
          <w:szCs w:val="16"/>
        </w:rPr>
        <w:footnoteRef/>
      </w:r>
      <w:r w:rsidRPr="00CF66A9">
        <w:rPr>
          <w:rFonts w:ascii="Arial" w:hAnsi="Arial" w:cs="Arial"/>
          <w:sz w:val="16"/>
          <w:szCs w:val="16"/>
        </w:rPr>
        <w:t xml:space="preserve"> </w:t>
      </w:r>
      <w:r w:rsidR="00CF66A9" w:rsidRPr="00CF66A9">
        <w:rPr>
          <w:rFonts w:ascii="Arial" w:hAnsi="Arial" w:cs="Arial"/>
          <w:sz w:val="16"/>
          <w:szCs w:val="16"/>
        </w:rPr>
        <w:t xml:space="preserve">Jurisprudencia de la </w:t>
      </w:r>
      <w:r w:rsidR="00CF66A9" w:rsidRPr="00CF66A9">
        <w:rPr>
          <w:rFonts w:ascii="Arial" w:hAnsi="Arial" w:cs="Arial"/>
          <w:bCs/>
          <w:smallCaps/>
          <w:sz w:val="16"/>
          <w:szCs w:val="16"/>
        </w:rPr>
        <w:t>Suprema Corte</w:t>
      </w:r>
      <w:r w:rsidR="00CF66A9" w:rsidRPr="00CF66A9">
        <w:rPr>
          <w:rFonts w:ascii="Arial" w:hAnsi="Arial" w:cs="Arial"/>
          <w:sz w:val="16"/>
          <w:szCs w:val="16"/>
        </w:rPr>
        <w:t xml:space="preserve">, con Registro digital: 187149, Instancia: Primera Sala, Novena Época, Materias(s): Común, del Semanario Judicial de la Federación y su Gaceta. Tomo XV, </w:t>
      </w:r>
      <w:proofErr w:type="gramStart"/>
      <w:r w:rsidR="00CF66A9" w:rsidRPr="00CF66A9">
        <w:rPr>
          <w:rFonts w:ascii="Arial" w:hAnsi="Arial" w:cs="Arial"/>
          <w:sz w:val="16"/>
          <w:szCs w:val="16"/>
        </w:rPr>
        <w:t>Abril</w:t>
      </w:r>
      <w:proofErr w:type="gramEnd"/>
      <w:r w:rsidR="00CF66A9" w:rsidRPr="00CF66A9">
        <w:rPr>
          <w:rFonts w:ascii="Arial" w:hAnsi="Arial" w:cs="Arial"/>
          <w:sz w:val="16"/>
          <w:szCs w:val="16"/>
        </w:rPr>
        <w:t xml:space="preserve"> de 2002, página 314, de rubro: </w:t>
      </w:r>
      <w:r w:rsidR="00CF66A9" w:rsidRPr="00CF66A9">
        <w:rPr>
          <w:rFonts w:ascii="Arial" w:hAnsi="Arial" w:cs="Arial"/>
          <w:b/>
          <w:bCs/>
          <w:i/>
          <w:iCs/>
          <w:sz w:val="16"/>
          <w:szCs w:val="16"/>
        </w:rPr>
        <w:t>“PRECLUSIÓN. ES UNA FIGURA JURÍDICA QUE EXTINGUE O CONSUMA LA OPORTUNIDAD PROCESAL DE REALIZAR UN ACTO”</w:t>
      </w:r>
      <w:r w:rsidR="00CF66A9" w:rsidRPr="00CF66A9">
        <w:rPr>
          <w:rFonts w:ascii="Arial" w:hAnsi="Arial" w:cs="Arial"/>
          <w:i/>
          <w:iCs/>
          <w:sz w:val="16"/>
          <w:szCs w:val="16"/>
        </w:rPr>
        <w:t>.</w:t>
      </w:r>
    </w:p>
  </w:footnote>
  <w:footnote w:id="24">
    <w:p w14:paraId="614B59F3" w14:textId="22494496" w:rsidR="002F55F5" w:rsidRPr="00CF66A9" w:rsidRDefault="002F55F5" w:rsidP="00CF66A9">
      <w:pPr>
        <w:spacing w:after="0"/>
        <w:jc w:val="both"/>
        <w:rPr>
          <w:rFonts w:ascii="Arial" w:hAnsi="Arial" w:cs="Arial"/>
          <w:sz w:val="16"/>
          <w:szCs w:val="16"/>
        </w:rPr>
      </w:pPr>
      <w:r w:rsidRPr="00CF66A9">
        <w:rPr>
          <w:rStyle w:val="Refdenotaalpie"/>
          <w:rFonts w:ascii="Arial" w:hAnsi="Arial" w:cs="Arial"/>
          <w:sz w:val="16"/>
          <w:szCs w:val="16"/>
        </w:rPr>
        <w:footnoteRef/>
      </w:r>
      <w:r w:rsidRPr="00CF66A9">
        <w:rPr>
          <w:rFonts w:ascii="Arial" w:hAnsi="Arial" w:cs="Arial"/>
          <w:sz w:val="16"/>
          <w:szCs w:val="16"/>
        </w:rPr>
        <w:t xml:space="preserve"> </w:t>
      </w:r>
      <w:r w:rsidR="00CF66A9" w:rsidRPr="00CF66A9">
        <w:rPr>
          <w:rFonts w:ascii="Arial" w:hAnsi="Arial" w:cs="Arial"/>
          <w:sz w:val="16"/>
          <w:szCs w:val="16"/>
        </w:rPr>
        <w:t xml:space="preserve">Tesis Aislada, de la </w:t>
      </w:r>
      <w:r w:rsidR="00CF66A9" w:rsidRPr="00CF66A9">
        <w:rPr>
          <w:rFonts w:ascii="Arial" w:hAnsi="Arial" w:cs="Arial"/>
          <w:smallCaps/>
          <w:sz w:val="16"/>
          <w:szCs w:val="16"/>
        </w:rPr>
        <w:t>Suprema Corte</w:t>
      </w:r>
      <w:r w:rsidR="00CF66A9" w:rsidRPr="00CF66A9">
        <w:rPr>
          <w:rFonts w:ascii="Arial" w:hAnsi="Arial" w:cs="Arial"/>
          <w:sz w:val="16"/>
          <w:szCs w:val="16"/>
        </w:rPr>
        <w:t xml:space="preserve">, con número de Registro digital: 2004055, Instancia: Primera Sala, Décima Época, Materias(s): Constitucional, Común, del Semanario Judicial de la Federación y su Gaceta. Libro XXII, Julio de 2013, Tomo 1, página 565, </w:t>
      </w:r>
      <w:r w:rsidR="00CF66A9" w:rsidRPr="00CF66A9">
        <w:rPr>
          <w:rFonts w:ascii="Arial" w:hAnsi="Arial" w:cs="Arial"/>
          <w:b/>
          <w:bCs/>
          <w:i/>
          <w:iCs/>
          <w:sz w:val="16"/>
          <w:szCs w:val="16"/>
        </w:rPr>
        <w:t>“PRECLUSIÓN DE UN DERECHO PROCESAL. NO CONTRAVIENE EL PRINCIPIO DE JUSTICIA PRONTA, PREVISTO EN EL ARTÍCULO 17 DE LA CONSTITUCIÓN POLÍTICA DE LOS ESTADOS UNIDOS MEXICANOS”</w:t>
      </w:r>
      <w:r w:rsidR="00CF66A9" w:rsidRPr="00CF66A9">
        <w:rPr>
          <w:rFonts w:ascii="Arial" w:hAnsi="Arial" w:cs="Arial"/>
          <w:sz w:val="16"/>
          <w:szCs w:val="16"/>
        </w:rPr>
        <w:t>.</w:t>
      </w:r>
    </w:p>
  </w:footnote>
  <w:footnote w:id="25">
    <w:p w14:paraId="23B9D319" w14:textId="2B78A7E4" w:rsidR="00954D42" w:rsidRPr="00CF66A9" w:rsidRDefault="00954D42" w:rsidP="00CF66A9">
      <w:pPr>
        <w:spacing w:after="0"/>
        <w:jc w:val="both"/>
        <w:rPr>
          <w:rFonts w:ascii="Arial" w:hAnsi="Arial" w:cs="Arial"/>
          <w:sz w:val="16"/>
          <w:szCs w:val="16"/>
        </w:rPr>
      </w:pPr>
      <w:r w:rsidRPr="00CF66A9">
        <w:rPr>
          <w:rStyle w:val="Refdenotaalpie"/>
          <w:rFonts w:ascii="Arial" w:hAnsi="Arial" w:cs="Arial"/>
          <w:sz w:val="16"/>
          <w:szCs w:val="16"/>
        </w:rPr>
        <w:footnoteRef/>
      </w:r>
      <w:r w:rsidRPr="00CF66A9">
        <w:rPr>
          <w:rFonts w:ascii="Arial" w:hAnsi="Arial" w:cs="Arial"/>
          <w:sz w:val="16"/>
          <w:szCs w:val="16"/>
        </w:rPr>
        <w:t xml:space="preserve"> Jurisprudencia de la </w:t>
      </w:r>
      <w:r w:rsidRPr="00CF66A9">
        <w:rPr>
          <w:rFonts w:ascii="Arial" w:hAnsi="Arial" w:cs="Arial"/>
          <w:smallCaps/>
          <w:sz w:val="16"/>
          <w:szCs w:val="16"/>
        </w:rPr>
        <w:t>Suprema Corte</w:t>
      </w:r>
      <w:r w:rsidRPr="00CF66A9">
        <w:rPr>
          <w:rFonts w:ascii="Arial" w:hAnsi="Arial" w:cs="Arial"/>
          <w:sz w:val="16"/>
          <w:szCs w:val="16"/>
        </w:rPr>
        <w:t xml:space="preserve">, con número de Registro digital: 2018772, Instancia: Tribunales Colegiados de Circuito, Décima Época, Materias(s): Común, de la Gaceta del Semanario Judicial de la Federación. Libro 61, </w:t>
      </w:r>
      <w:proofErr w:type="gramStart"/>
      <w:r w:rsidRPr="00CF66A9">
        <w:rPr>
          <w:rFonts w:ascii="Arial" w:hAnsi="Arial" w:cs="Arial"/>
          <w:sz w:val="16"/>
          <w:szCs w:val="16"/>
        </w:rPr>
        <w:t>Diciembre</w:t>
      </w:r>
      <w:proofErr w:type="gramEnd"/>
      <w:r w:rsidRPr="00CF66A9">
        <w:rPr>
          <w:rFonts w:ascii="Arial" w:hAnsi="Arial" w:cs="Arial"/>
          <w:sz w:val="16"/>
          <w:szCs w:val="16"/>
        </w:rPr>
        <w:t xml:space="preserve"> de 2018, Tomo II, página 809, de rubro:</w:t>
      </w:r>
      <w:r w:rsidRPr="00CF66A9">
        <w:rPr>
          <w:rFonts w:ascii="Arial" w:hAnsi="Arial" w:cs="Arial"/>
          <w:b/>
          <w:i/>
          <w:sz w:val="16"/>
          <w:szCs w:val="16"/>
        </w:rPr>
        <w:t xml:space="preserve"> “PRECLUSIÓN. ES UN PRINCIPIO QUE OPERA EN EL JUICIO DE AMPARO”.</w:t>
      </w:r>
    </w:p>
  </w:footnote>
  <w:footnote w:id="26">
    <w:p w14:paraId="5A41B1F8" w14:textId="5C07A7F8" w:rsidR="00F73689" w:rsidRPr="00CF66A9" w:rsidRDefault="00F73689" w:rsidP="00CF66A9">
      <w:pPr>
        <w:pStyle w:val="Textonotapie"/>
        <w:spacing w:after="0"/>
        <w:jc w:val="both"/>
        <w:rPr>
          <w:rFonts w:ascii="Arial" w:hAnsi="Arial" w:cs="Arial"/>
          <w:sz w:val="16"/>
          <w:szCs w:val="16"/>
          <w:lang w:val="es-MX"/>
        </w:rPr>
      </w:pPr>
      <w:r w:rsidRPr="00CF66A9">
        <w:rPr>
          <w:rStyle w:val="Refdenotaalpie"/>
          <w:rFonts w:ascii="Arial" w:hAnsi="Arial" w:cs="Arial"/>
          <w:sz w:val="16"/>
          <w:szCs w:val="16"/>
        </w:rPr>
        <w:footnoteRef/>
      </w:r>
      <w:r w:rsidRPr="00CF66A9">
        <w:rPr>
          <w:rFonts w:ascii="Arial" w:hAnsi="Arial" w:cs="Arial"/>
          <w:sz w:val="16"/>
          <w:szCs w:val="16"/>
        </w:rPr>
        <w:t xml:space="preserve"> </w:t>
      </w:r>
      <w:r w:rsidR="00534A5B" w:rsidRPr="00CF66A9">
        <w:rPr>
          <w:rFonts w:ascii="Arial" w:hAnsi="Arial" w:cs="Arial"/>
          <w:sz w:val="16"/>
          <w:szCs w:val="16"/>
        </w:rPr>
        <w:t xml:space="preserve">Ver </w:t>
      </w:r>
      <w:hyperlink r:id="rId18" w:history="1">
        <w:r w:rsidR="00534A5B" w:rsidRPr="00CF66A9">
          <w:rPr>
            <w:rStyle w:val="Hipervnculo"/>
            <w:color w:val="auto"/>
            <w:sz w:val="16"/>
            <w:szCs w:val="16"/>
          </w:rPr>
          <w:t>http://teeags.mx/category/estrados-electronicos/?d=L1JlY3Vyc28gZGUgQXBlbGFjacOzbiAoUkFQKS9SQVBfMjAyMy9SQVBfMDAyXzIwMjM%3D&amp;m1dll_index_get=0</w:t>
        </w:r>
      </w:hyperlink>
      <w:r w:rsidR="00534A5B" w:rsidRPr="00CF66A9">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70E0" w14:textId="69370972" w:rsidR="00000000" w:rsidRDefault="00000000" w:rsidP="00033173">
    <w:pPr>
      <w:pStyle w:val="Encabezado"/>
      <w:tabs>
        <w:tab w:val="clear" w:pos="4252"/>
        <w:tab w:val="left" w:pos="5954"/>
      </w:tabs>
      <w:ind w:right="-6"/>
      <w:jc w:val="right"/>
      <w:rPr>
        <w:rFonts w:ascii="Univers" w:hAnsi="Univers" w:cs="Courier New"/>
        <w:b/>
        <w:sz w:val="28"/>
        <w:szCs w:val="28"/>
      </w:rPr>
    </w:pPr>
    <w:r>
      <w:rPr>
        <w:noProof/>
      </w:rPr>
      <w:pict w14:anchorId="716C77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355891" o:spid="_x0000_s1026" type="#_x0000_t136" style="position:absolute;left:0;text-align:left;margin-left:0;margin-top:0;width:488.05pt;height:75.05pt;rotation:315;z-index:-251650048;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p>
  <w:p w14:paraId="0E5D25EF" w14:textId="77777777" w:rsidR="00000000" w:rsidRDefault="00000000" w:rsidP="00033173">
    <w:pPr>
      <w:pStyle w:val="Encabezado"/>
      <w:tabs>
        <w:tab w:val="clear" w:pos="4252"/>
        <w:tab w:val="left" w:pos="5954"/>
      </w:tabs>
      <w:ind w:right="-6"/>
      <w:jc w:val="right"/>
      <w:rPr>
        <w:rFonts w:ascii="Univers" w:hAnsi="Univers" w:cs="Courier New"/>
        <w:b/>
        <w:sz w:val="28"/>
        <w:szCs w:val="28"/>
      </w:rPr>
    </w:pPr>
    <w:sdt>
      <w:sdtPr>
        <w:rPr>
          <w:rFonts w:ascii="Univers" w:hAnsi="Univers" w:cs="Courier New"/>
          <w:b/>
          <w:sz w:val="28"/>
          <w:szCs w:val="28"/>
        </w:rPr>
        <w:id w:val="137628480"/>
        <w:docPartObj>
          <w:docPartGallery w:val="Page Numbers (Margins)"/>
          <w:docPartUnique/>
        </w:docPartObj>
      </w:sdtPr>
      <w:sdtContent>
        <w:r w:rsidR="009C1068" w:rsidRPr="00E419F1">
          <w:rPr>
            <w:rFonts w:ascii="Univers" w:hAnsi="Univers" w:cs="Courier New"/>
            <w:b/>
            <w:noProof/>
            <w:sz w:val="28"/>
            <w:szCs w:val="28"/>
            <w:lang w:val="es-MX" w:eastAsia="es-MX"/>
          </w:rPr>
          <mc:AlternateContent>
            <mc:Choice Requires="wps">
              <w:drawing>
                <wp:anchor distT="0" distB="0" distL="114300" distR="114300" simplePos="0" relativeHeight="251659264" behindDoc="0" locked="0" layoutInCell="0" allowOverlap="1" wp14:anchorId="3DDFB36E" wp14:editId="49F35E39">
                  <wp:simplePos x="0" y="0"/>
                  <wp:positionH relativeFrom="leftMargin">
                    <wp:align>center</wp:align>
                  </wp:positionH>
                  <wp:positionV relativeFrom="page">
                    <wp:align>center</wp:align>
                  </wp:positionV>
                  <wp:extent cx="762000" cy="89535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68627047"/>
                                <w:docPartObj>
                                  <w:docPartGallery w:val="Page Numbers (Margins)"/>
                                  <w:docPartUnique/>
                                </w:docPartObj>
                              </w:sdtPr>
                              <w:sdtContent>
                                <w:sdt>
                                  <w:sdtPr>
                                    <w:rPr>
                                      <w:rFonts w:asciiTheme="majorHAnsi" w:eastAsiaTheme="majorEastAsia" w:hAnsiTheme="majorHAnsi" w:cstheme="majorBidi"/>
                                      <w:sz w:val="48"/>
                                      <w:szCs w:val="48"/>
                                    </w:rPr>
                                    <w:id w:val="242612202"/>
                                    <w:docPartObj>
                                      <w:docPartGallery w:val="Page Numbers (Margins)"/>
                                      <w:docPartUnique/>
                                    </w:docPartObj>
                                  </w:sdtPr>
                                  <w:sdtContent>
                                    <w:p w14:paraId="642DE7A0" w14:textId="77777777" w:rsidR="00000000" w:rsidRDefault="009C1068">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A7265A">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FB36E" id="Rectángulo 4"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68627047"/>
                          <w:docPartObj>
                            <w:docPartGallery w:val="Page Numbers (Margins)"/>
                            <w:docPartUnique/>
                          </w:docPartObj>
                        </w:sdtPr>
                        <w:sdtContent>
                          <w:sdt>
                            <w:sdtPr>
                              <w:rPr>
                                <w:rFonts w:asciiTheme="majorHAnsi" w:eastAsiaTheme="majorEastAsia" w:hAnsiTheme="majorHAnsi" w:cstheme="majorBidi"/>
                                <w:sz w:val="48"/>
                                <w:szCs w:val="48"/>
                              </w:rPr>
                              <w:id w:val="242612202"/>
                              <w:docPartObj>
                                <w:docPartGallery w:val="Page Numbers (Margins)"/>
                                <w:docPartUnique/>
                              </w:docPartObj>
                            </w:sdtPr>
                            <w:sdtContent>
                              <w:p w14:paraId="642DE7A0" w14:textId="77777777" w:rsidR="00000000" w:rsidRDefault="009C1068">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A7265A">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sdtContent>
    </w:sdt>
  </w:p>
  <w:p w14:paraId="2684EC29" w14:textId="77777777" w:rsidR="00000000" w:rsidRPr="00E119AE" w:rsidRDefault="009C1068" w:rsidP="00033173">
    <w:pPr>
      <w:pStyle w:val="Encabezado"/>
      <w:tabs>
        <w:tab w:val="clear" w:pos="4252"/>
        <w:tab w:val="left" w:pos="5954"/>
      </w:tabs>
      <w:ind w:right="-6"/>
      <w:jc w:val="right"/>
      <w:rPr>
        <w:rFonts w:ascii="Verdana" w:hAnsi="Verdana" w:cs="Arial"/>
        <w:b/>
        <w:sz w:val="22"/>
        <w:szCs w:val="22"/>
        <w:lang w:val="es-MX"/>
      </w:rPr>
    </w:pPr>
    <w:r w:rsidRPr="00E119AE">
      <w:rPr>
        <w:rFonts w:ascii="Verdana" w:hAnsi="Verdana" w:cs="Courier New"/>
        <w:b/>
        <w:sz w:val="22"/>
        <w:szCs w:val="22"/>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88AC" w14:textId="252AEBF9" w:rsidR="00000000" w:rsidRDefault="00000000" w:rsidP="00C50FA7">
    <w:pPr>
      <w:pStyle w:val="Encabezado"/>
      <w:tabs>
        <w:tab w:val="clear" w:pos="4252"/>
        <w:tab w:val="left" w:pos="2655"/>
        <w:tab w:val="left" w:pos="5954"/>
      </w:tabs>
      <w:ind w:right="-6"/>
      <w:rPr>
        <w:rFonts w:ascii="Univers" w:hAnsi="Univers" w:cs="Arial"/>
        <w:b/>
        <w:sz w:val="28"/>
        <w:szCs w:val="28"/>
        <w:lang w:val="es-MX"/>
      </w:rPr>
    </w:pPr>
    <w:r>
      <w:rPr>
        <w:noProof/>
      </w:rPr>
      <w:pict w14:anchorId="4628C5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355892" o:spid="_x0000_s1027" type="#_x0000_t136" style="position:absolute;margin-left:0;margin-top:0;width:488.05pt;height:75.05pt;rotation:315;z-index:-251648000;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r w:rsidR="009C1068">
      <w:rPr>
        <w:rFonts w:ascii="Univers" w:hAnsi="Univers" w:cs="Arial"/>
        <w:b/>
        <w:sz w:val="28"/>
        <w:szCs w:val="28"/>
        <w:lang w:val="es-MX"/>
      </w:rPr>
      <w:tab/>
    </w:r>
    <w:r w:rsidR="009C1068">
      <w:rPr>
        <w:rFonts w:ascii="Univers" w:hAnsi="Univers" w:cs="Arial"/>
        <w:b/>
        <w:sz w:val="28"/>
        <w:szCs w:val="28"/>
        <w:lang w:val="es-MX"/>
      </w:rPr>
      <w:tab/>
    </w:r>
  </w:p>
  <w:p w14:paraId="2E82F55E" w14:textId="77777777" w:rsidR="00000000" w:rsidRDefault="009C1068" w:rsidP="00AF10AF">
    <w:pPr>
      <w:pStyle w:val="Encabezado"/>
      <w:tabs>
        <w:tab w:val="clear" w:pos="4252"/>
        <w:tab w:val="left" w:pos="5954"/>
      </w:tabs>
      <w:ind w:right="-6"/>
      <w:jc w:val="right"/>
      <w:rPr>
        <w:rFonts w:ascii="Univers" w:hAnsi="Univers" w:cs="Arial"/>
        <w:b/>
        <w:sz w:val="28"/>
        <w:szCs w:val="28"/>
        <w:lang w:val="es-MX"/>
      </w:rPr>
    </w:pPr>
    <w:r>
      <w:rPr>
        <w:noProof/>
        <w:lang w:val="es-MX" w:eastAsia="es-MX"/>
      </w:rPr>
      <w:drawing>
        <wp:anchor distT="0" distB="0" distL="114300" distR="114300" simplePos="0" relativeHeight="251662336" behindDoc="0" locked="0" layoutInCell="1" allowOverlap="1" wp14:anchorId="187293B1" wp14:editId="7E989EC0">
          <wp:simplePos x="0" y="0"/>
          <wp:positionH relativeFrom="column">
            <wp:posOffset>0</wp:posOffset>
          </wp:positionH>
          <wp:positionV relativeFrom="paragraph">
            <wp:posOffset>-635</wp:posOffset>
          </wp:positionV>
          <wp:extent cx="962025" cy="1144270"/>
          <wp:effectExtent l="0" t="0" r="952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144270"/>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Univers" w:hAnsi="Univers" w:cs="Arial"/>
          <w:b/>
          <w:sz w:val="28"/>
          <w:szCs w:val="28"/>
          <w:lang w:val="es-MX"/>
        </w:rPr>
        <w:id w:val="-290443122"/>
        <w:docPartObj>
          <w:docPartGallery w:val="Page Numbers (Margins)"/>
          <w:docPartUnique/>
        </w:docPartObj>
      </w:sdtPr>
      <w:sdtContent>
        <w:r w:rsidRPr="00E419F1">
          <w:rPr>
            <w:rFonts w:ascii="Univers" w:hAnsi="Univers" w:cs="Arial"/>
            <w:b/>
            <w:noProof/>
            <w:sz w:val="28"/>
            <w:szCs w:val="28"/>
            <w:lang w:val="es-MX" w:eastAsia="es-MX"/>
          </w:rPr>
          <mc:AlternateContent>
            <mc:Choice Requires="wps">
              <w:drawing>
                <wp:anchor distT="0" distB="0" distL="114300" distR="114300" simplePos="0" relativeHeight="251660288" behindDoc="0" locked="0" layoutInCell="0" allowOverlap="1" wp14:anchorId="400F2775" wp14:editId="20698926">
                  <wp:simplePos x="0" y="0"/>
                  <wp:positionH relativeFrom="rightMargin">
                    <wp:align>center</wp:align>
                  </wp:positionH>
                  <wp:positionV relativeFrom="page">
                    <wp:align>center</wp:align>
                  </wp:positionV>
                  <wp:extent cx="762000" cy="89535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062149595"/>
                                <w:docPartObj>
                                  <w:docPartGallery w:val="Page Numbers (Margins)"/>
                                  <w:docPartUnique/>
                                </w:docPartObj>
                              </w:sdtPr>
                              <w:sdtContent>
                                <w:p w14:paraId="547F6FA2" w14:textId="7CABC94D" w:rsidR="00000000" w:rsidRDefault="009C1068">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450163" w:rsidRPr="00450163">
                                    <w:rPr>
                                      <w:rFonts w:asciiTheme="majorHAnsi" w:eastAsiaTheme="majorEastAsia" w:hAnsiTheme="majorHAnsi" w:cstheme="majorBidi"/>
                                      <w:noProof/>
                                      <w:sz w:val="48"/>
                                      <w:szCs w:val="48"/>
                                    </w:rPr>
                                    <w:t>10</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F2775" id="Rectángulo 5" o:spid="_x0000_s1027" style="position:absolute;left:0;text-align:left;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" o:allowincell="f" stroked="f">
                  <v:textbox>
                    <w:txbxContent>
                      <w:sdt>
                        <w:sdtPr>
                          <w:rPr>
                            <w:rFonts w:asciiTheme="majorHAnsi" w:eastAsiaTheme="majorEastAsia" w:hAnsiTheme="majorHAnsi" w:cstheme="majorBidi"/>
                            <w:sz w:val="48"/>
                            <w:szCs w:val="48"/>
                          </w:rPr>
                          <w:id w:val="1062149595"/>
                          <w:docPartObj>
                            <w:docPartGallery w:val="Page Numbers (Margins)"/>
                            <w:docPartUnique/>
                          </w:docPartObj>
                        </w:sdtPr>
                        <w:sdtContent>
                          <w:p w14:paraId="547F6FA2" w14:textId="7CABC94D" w:rsidR="00000000" w:rsidRDefault="009C1068">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450163" w:rsidRPr="00450163">
                              <w:rPr>
                                <w:rFonts w:asciiTheme="majorHAnsi" w:eastAsiaTheme="majorEastAsia" w:hAnsiTheme="majorHAnsi" w:cstheme="majorBidi"/>
                                <w:noProof/>
                                <w:sz w:val="48"/>
                                <w:szCs w:val="48"/>
                              </w:rPr>
                              <w:t>10</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710BEA8A" w14:textId="7F417CCB" w:rsidR="00000000" w:rsidRDefault="009C1068" w:rsidP="005625D3">
    <w:pPr>
      <w:pStyle w:val="Encabezado"/>
      <w:tabs>
        <w:tab w:val="clear" w:pos="4252"/>
        <w:tab w:val="left" w:pos="5954"/>
      </w:tabs>
      <w:ind w:right="-6"/>
      <w:jc w:val="right"/>
      <w:rPr>
        <w:rFonts w:ascii="Verdana" w:hAnsi="Verdana" w:cs="Courier New"/>
        <w:b/>
        <w:sz w:val="22"/>
        <w:szCs w:val="22"/>
      </w:rPr>
    </w:pPr>
    <w:r w:rsidRPr="003571CD">
      <w:rPr>
        <w:rFonts w:ascii="Verdana" w:hAnsi="Verdana" w:cs="Courier New"/>
        <w:b/>
        <w:sz w:val="22"/>
        <w:szCs w:val="22"/>
      </w:rPr>
      <w:t>TEEA-</w:t>
    </w:r>
    <w:r w:rsidR="009570B2">
      <w:rPr>
        <w:rFonts w:ascii="Verdana" w:hAnsi="Verdana" w:cs="Courier New"/>
        <w:b/>
        <w:sz w:val="22"/>
        <w:szCs w:val="22"/>
      </w:rPr>
      <w:t>RAP</w:t>
    </w:r>
    <w:r w:rsidRPr="003571CD">
      <w:rPr>
        <w:rFonts w:ascii="Verdana" w:hAnsi="Verdana" w:cs="Courier New"/>
        <w:b/>
        <w:sz w:val="22"/>
        <w:szCs w:val="22"/>
      </w:rPr>
      <w:t>-00</w:t>
    </w:r>
    <w:r w:rsidR="009738E2">
      <w:rPr>
        <w:rFonts w:ascii="Verdana" w:hAnsi="Verdana" w:cs="Courier New"/>
        <w:b/>
        <w:sz w:val="22"/>
        <w:szCs w:val="22"/>
      </w:rPr>
      <w:t>7</w:t>
    </w:r>
    <w:r w:rsidRPr="003571CD">
      <w:rPr>
        <w:rFonts w:ascii="Verdana" w:hAnsi="Verdana" w:cs="Courier New"/>
        <w:b/>
        <w:sz w:val="22"/>
        <w:szCs w:val="22"/>
      </w:rPr>
      <w:t>/2023</w:t>
    </w:r>
  </w:p>
  <w:p w14:paraId="7131B6B4" w14:textId="77777777" w:rsidR="00000000" w:rsidRDefault="00000000" w:rsidP="005625D3">
    <w:pPr>
      <w:pStyle w:val="Encabezado"/>
      <w:tabs>
        <w:tab w:val="clear" w:pos="4252"/>
        <w:tab w:val="left" w:pos="5954"/>
      </w:tabs>
      <w:ind w:right="-6"/>
      <w:jc w:val="right"/>
      <w:rPr>
        <w:rFonts w:ascii="Verdana" w:hAnsi="Verdana" w:cs="Courier New"/>
        <w:b/>
        <w:sz w:val="22"/>
        <w:szCs w:val="22"/>
      </w:rPr>
    </w:pPr>
  </w:p>
  <w:p w14:paraId="1B3AF9ED" w14:textId="77777777" w:rsidR="00000000" w:rsidRPr="00BE3C4D" w:rsidRDefault="00000000" w:rsidP="005625D3">
    <w:pPr>
      <w:pStyle w:val="Encabezado"/>
      <w:tabs>
        <w:tab w:val="clear" w:pos="4252"/>
        <w:tab w:val="left" w:pos="5954"/>
      </w:tabs>
      <w:ind w:right="-6"/>
      <w:jc w:val="right"/>
      <w:rPr>
        <w:rFonts w:ascii="Verdana" w:hAnsi="Verdana"/>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DBD5" w14:textId="188BB033" w:rsidR="00000000" w:rsidRDefault="00000000" w:rsidP="00E708AB">
    <w:pPr>
      <w:pStyle w:val="Encabezado"/>
      <w:jc w:val="center"/>
      <w:rPr>
        <w:rFonts w:ascii="Verdana" w:hAnsi="Verdana"/>
        <w:b/>
        <w:lang w:val="es-MX"/>
      </w:rPr>
    </w:pPr>
    <w:r>
      <w:rPr>
        <w:noProof/>
      </w:rPr>
      <w:pict w14:anchorId="02F1F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355890" o:spid="_x0000_s1025" type="#_x0000_t136" style="position:absolute;left:0;text-align:left;margin-left:0;margin-top:0;width:488.05pt;height:75.05pt;rotation:315;z-index:-251652096;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r w:rsidR="009C1068">
      <w:rPr>
        <w:noProof/>
        <w:lang w:val="es-MX" w:eastAsia="es-MX"/>
      </w:rPr>
      <w:drawing>
        <wp:anchor distT="0" distB="0" distL="114300" distR="114300" simplePos="0" relativeHeight="251661312" behindDoc="0" locked="0" layoutInCell="1" allowOverlap="1" wp14:anchorId="0BBF41E3" wp14:editId="434F5517">
          <wp:simplePos x="0" y="0"/>
          <wp:positionH relativeFrom="column">
            <wp:posOffset>-127000</wp:posOffset>
          </wp:positionH>
          <wp:positionV relativeFrom="paragraph">
            <wp:posOffset>129752</wp:posOffset>
          </wp:positionV>
          <wp:extent cx="962025" cy="114427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144270"/>
                  </a:xfrm>
                  <a:prstGeom prst="rect">
                    <a:avLst/>
                  </a:prstGeom>
                  <a:noFill/>
                </pic:spPr>
              </pic:pic>
            </a:graphicData>
          </a:graphic>
          <wp14:sizeRelH relativeFrom="page">
            <wp14:pctWidth>0</wp14:pctWidth>
          </wp14:sizeRelH>
          <wp14:sizeRelV relativeFrom="page">
            <wp14:pctHeight>0</wp14:pctHeight>
          </wp14:sizeRelV>
        </wp:anchor>
      </w:drawing>
    </w:r>
  </w:p>
  <w:p w14:paraId="54E6477B" w14:textId="77777777" w:rsidR="00000000" w:rsidRDefault="00000000" w:rsidP="00E708AB">
    <w:pPr>
      <w:pStyle w:val="Encabezado"/>
      <w:jc w:val="center"/>
      <w:rPr>
        <w:rFonts w:ascii="Verdana" w:hAnsi="Verdana"/>
        <w:b/>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0781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96A4570"/>
    <w:multiLevelType w:val="hybridMultilevel"/>
    <w:tmpl w:val="96C0E984"/>
    <w:lvl w:ilvl="0" w:tplc="FC7CE326">
      <w:start w:val="1"/>
      <w:numFmt w:val="low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5C25C4"/>
    <w:multiLevelType w:val="hybridMultilevel"/>
    <w:tmpl w:val="72663178"/>
    <w:lvl w:ilvl="0" w:tplc="30687032">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386A7D"/>
    <w:multiLevelType w:val="hybridMultilevel"/>
    <w:tmpl w:val="EDFED6E2"/>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6F352C"/>
    <w:multiLevelType w:val="hybridMultilevel"/>
    <w:tmpl w:val="3512835E"/>
    <w:lvl w:ilvl="0" w:tplc="039CD2EA">
      <w:start w:val="1"/>
      <w:numFmt w:val="decimal"/>
      <w:lvlText w:val="%1."/>
      <w:lvlJc w:val="left"/>
      <w:pPr>
        <w:ind w:left="720" w:hanging="360"/>
      </w:pPr>
      <w:rPr>
        <w:b w:val="0"/>
        <w:bCs w:val="0"/>
        <w:sz w:val="18"/>
        <w:szCs w:val="18"/>
      </w:rPr>
    </w:lvl>
    <w:lvl w:ilvl="1" w:tplc="F1423C02">
      <w:start w:val="1"/>
      <w:numFmt w:val="upperRoman"/>
      <w:lvlText w:val="%2."/>
      <w:lvlJc w:val="left"/>
      <w:pPr>
        <w:ind w:left="1800" w:hanging="720"/>
      </w:pPr>
      <w:rPr>
        <w:b/>
        <w:bCs w:val="0"/>
      </w:rPr>
    </w:lvl>
    <w:lvl w:ilvl="2" w:tplc="18EA06BC">
      <w:start w:val="1"/>
      <w:numFmt w:val="lowerLetter"/>
      <w:lvlText w:val="%3)"/>
      <w:lvlJc w:val="left"/>
      <w:pPr>
        <w:ind w:left="2340" w:hanging="36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E6A084E"/>
    <w:multiLevelType w:val="hybridMultilevel"/>
    <w:tmpl w:val="CB5AB1D8"/>
    <w:lvl w:ilvl="0" w:tplc="F3F8175E">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4B559F"/>
    <w:multiLevelType w:val="hybridMultilevel"/>
    <w:tmpl w:val="65725488"/>
    <w:lvl w:ilvl="0" w:tplc="080A0017">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745926"/>
    <w:multiLevelType w:val="hybridMultilevel"/>
    <w:tmpl w:val="A33481AE"/>
    <w:lvl w:ilvl="0" w:tplc="7F6CB04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BD591B"/>
    <w:multiLevelType w:val="hybridMultilevel"/>
    <w:tmpl w:val="E7ECFFF2"/>
    <w:lvl w:ilvl="0" w:tplc="96B05D14">
      <w:start w:val="4"/>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226C8A"/>
    <w:multiLevelType w:val="hybridMultilevel"/>
    <w:tmpl w:val="5FFA74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5AB1DCD"/>
    <w:multiLevelType w:val="hybridMultilevel"/>
    <w:tmpl w:val="5FF4AF1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F265E8"/>
    <w:multiLevelType w:val="hybridMultilevel"/>
    <w:tmpl w:val="EDFED6E2"/>
    <w:lvl w:ilvl="0" w:tplc="321244FA">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A4514B"/>
    <w:multiLevelType w:val="hybridMultilevel"/>
    <w:tmpl w:val="230606C6"/>
    <w:lvl w:ilvl="0" w:tplc="74F675AC">
      <w:start w:val="1"/>
      <w:numFmt w:val="upperRoman"/>
      <w:lvlText w:val="%1."/>
      <w:lvlJc w:val="right"/>
      <w:pPr>
        <w:ind w:left="720" w:hanging="360"/>
      </w:pPr>
      <w:rPr>
        <w:b/>
        <w:bCs/>
      </w:rPr>
    </w:lvl>
    <w:lvl w:ilvl="1" w:tplc="3FAC2CC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947492"/>
    <w:multiLevelType w:val="hybridMultilevel"/>
    <w:tmpl w:val="196A3CD4"/>
    <w:lvl w:ilvl="0" w:tplc="204089A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E80870"/>
    <w:multiLevelType w:val="hybridMultilevel"/>
    <w:tmpl w:val="F5CADF52"/>
    <w:lvl w:ilvl="0" w:tplc="E4F674A4">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60C623E"/>
    <w:multiLevelType w:val="hybridMultilevel"/>
    <w:tmpl w:val="84F062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150A35"/>
    <w:multiLevelType w:val="hybridMultilevel"/>
    <w:tmpl w:val="CC22BC00"/>
    <w:lvl w:ilvl="0" w:tplc="25467030">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59B47FA"/>
    <w:multiLevelType w:val="hybridMultilevel"/>
    <w:tmpl w:val="5B5643EA"/>
    <w:lvl w:ilvl="0" w:tplc="99A835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4022F4"/>
    <w:multiLevelType w:val="multilevel"/>
    <w:tmpl w:val="2458C640"/>
    <w:lvl w:ilvl="0">
      <w:start w:val="1"/>
      <w:numFmt w:val="bullet"/>
      <w:lvlText w:val="●"/>
      <w:lvlJc w:val="left"/>
      <w:pPr>
        <w:ind w:left="1495" w:hanging="360"/>
      </w:pPr>
      <w:rPr>
        <w:rFonts w:ascii="Noto Sans Symbols" w:eastAsia="Noto Sans Symbols" w:hAnsi="Noto Sans Symbols" w:cs="Noto Sans Symbols"/>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19" w15:restartNumberingAfterBreak="0">
    <w:nsid w:val="69A47FA8"/>
    <w:multiLevelType w:val="hybridMultilevel"/>
    <w:tmpl w:val="AF641AFA"/>
    <w:lvl w:ilvl="0" w:tplc="FF90DC5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E99235B"/>
    <w:multiLevelType w:val="hybridMultilevel"/>
    <w:tmpl w:val="B81208C8"/>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F2E0776"/>
    <w:multiLevelType w:val="hybridMultilevel"/>
    <w:tmpl w:val="F5FC6D82"/>
    <w:lvl w:ilvl="0" w:tplc="B4BABF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316F07"/>
    <w:multiLevelType w:val="hybridMultilevel"/>
    <w:tmpl w:val="D088B012"/>
    <w:lvl w:ilvl="0" w:tplc="45DC5C62">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782ED9"/>
    <w:multiLevelType w:val="hybridMultilevel"/>
    <w:tmpl w:val="B81208C8"/>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AC2357D"/>
    <w:multiLevelType w:val="hybridMultilevel"/>
    <w:tmpl w:val="92C059D2"/>
    <w:lvl w:ilvl="0" w:tplc="57665B64">
      <w:start w:val="6"/>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FDC62B1"/>
    <w:multiLevelType w:val="multilevel"/>
    <w:tmpl w:val="E716E162"/>
    <w:lvl w:ilvl="0">
      <w:start w:val="1"/>
      <w:numFmt w:val="upperRoman"/>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1553809599">
    <w:abstractNumId w:val="16"/>
  </w:num>
  <w:num w:numId="2" w16cid:durableId="1043946628">
    <w:abstractNumId w:val="7"/>
  </w:num>
  <w:num w:numId="3" w16cid:durableId="1044985820">
    <w:abstractNumId w:val="5"/>
  </w:num>
  <w:num w:numId="4" w16cid:durableId="1042562787">
    <w:abstractNumId w:val="12"/>
  </w:num>
  <w:num w:numId="5" w16cid:durableId="1371954520">
    <w:abstractNumId w:val="11"/>
  </w:num>
  <w:num w:numId="6" w16cid:durableId="821044122">
    <w:abstractNumId w:val="25"/>
  </w:num>
  <w:num w:numId="7" w16cid:durableId="1964383434">
    <w:abstractNumId w:val="9"/>
  </w:num>
  <w:num w:numId="8" w16cid:durableId="198905275">
    <w:abstractNumId w:val="13"/>
  </w:num>
  <w:num w:numId="9" w16cid:durableId="1901936187">
    <w:abstractNumId w:val="10"/>
  </w:num>
  <w:num w:numId="10" w16cid:durableId="1256749744">
    <w:abstractNumId w:val="8"/>
  </w:num>
  <w:num w:numId="11" w16cid:durableId="140654316">
    <w:abstractNumId w:val="18"/>
  </w:num>
  <w:num w:numId="12" w16cid:durableId="168371735">
    <w:abstractNumId w:val="3"/>
  </w:num>
  <w:num w:numId="13" w16cid:durableId="202014097">
    <w:abstractNumId w:val="24"/>
  </w:num>
  <w:num w:numId="14" w16cid:durableId="1312563420">
    <w:abstractNumId w:val="15"/>
  </w:num>
  <w:num w:numId="15" w16cid:durableId="1498838441">
    <w:abstractNumId w:val="19"/>
  </w:num>
  <w:num w:numId="16" w16cid:durableId="1875969923">
    <w:abstractNumId w:val="6"/>
  </w:num>
  <w:num w:numId="17" w16cid:durableId="33846278">
    <w:abstractNumId w:val="21"/>
  </w:num>
  <w:num w:numId="18" w16cid:durableId="1033850356">
    <w:abstractNumId w:val="20"/>
  </w:num>
  <w:num w:numId="19" w16cid:durableId="1467433278">
    <w:abstractNumId w:val="23"/>
  </w:num>
  <w:num w:numId="20" w16cid:durableId="1498380441">
    <w:abstractNumId w:val="2"/>
  </w:num>
  <w:num w:numId="21" w16cid:durableId="1796094745">
    <w:abstractNumId w:val="14"/>
  </w:num>
  <w:num w:numId="22" w16cid:durableId="15723055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0994311">
    <w:abstractNumId w:val="17"/>
  </w:num>
  <w:num w:numId="24" w16cid:durableId="19376378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1378430">
    <w:abstractNumId w:val="0"/>
  </w:num>
  <w:num w:numId="26" w16cid:durableId="1293631856">
    <w:abstractNumId w:val="22"/>
  </w:num>
  <w:num w:numId="27" w16cid:durableId="119997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068"/>
    <w:rsid w:val="00000D96"/>
    <w:rsid w:val="00003894"/>
    <w:rsid w:val="00003C55"/>
    <w:rsid w:val="00004191"/>
    <w:rsid w:val="00005547"/>
    <w:rsid w:val="00011A49"/>
    <w:rsid w:val="00011F66"/>
    <w:rsid w:val="00013472"/>
    <w:rsid w:val="00014E17"/>
    <w:rsid w:val="00015B05"/>
    <w:rsid w:val="0003053D"/>
    <w:rsid w:val="00031607"/>
    <w:rsid w:val="00032449"/>
    <w:rsid w:val="0003604E"/>
    <w:rsid w:val="00036942"/>
    <w:rsid w:val="00043604"/>
    <w:rsid w:val="000546C4"/>
    <w:rsid w:val="000568F9"/>
    <w:rsid w:val="0006353D"/>
    <w:rsid w:val="000677BE"/>
    <w:rsid w:val="00071B03"/>
    <w:rsid w:val="00075E00"/>
    <w:rsid w:val="00081028"/>
    <w:rsid w:val="00086D27"/>
    <w:rsid w:val="000900D4"/>
    <w:rsid w:val="000A293C"/>
    <w:rsid w:val="000A4136"/>
    <w:rsid w:val="000B076C"/>
    <w:rsid w:val="000B1967"/>
    <w:rsid w:val="000B430E"/>
    <w:rsid w:val="000B49C2"/>
    <w:rsid w:val="000B797E"/>
    <w:rsid w:val="000C2DF8"/>
    <w:rsid w:val="000C541F"/>
    <w:rsid w:val="000C7D3A"/>
    <w:rsid w:val="000D0971"/>
    <w:rsid w:val="000D11C8"/>
    <w:rsid w:val="000D3257"/>
    <w:rsid w:val="000D7093"/>
    <w:rsid w:val="000D79E8"/>
    <w:rsid w:val="000E37AF"/>
    <w:rsid w:val="000E4112"/>
    <w:rsid w:val="000E5291"/>
    <w:rsid w:val="000E6483"/>
    <w:rsid w:val="000E751E"/>
    <w:rsid w:val="000F1DD7"/>
    <w:rsid w:val="000F3AE5"/>
    <w:rsid w:val="000F4239"/>
    <w:rsid w:val="000F4545"/>
    <w:rsid w:val="00106687"/>
    <w:rsid w:val="00107D77"/>
    <w:rsid w:val="0011083E"/>
    <w:rsid w:val="0011214F"/>
    <w:rsid w:val="0011338F"/>
    <w:rsid w:val="001143B8"/>
    <w:rsid w:val="001209E7"/>
    <w:rsid w:val="00121E34"/>
    <w:rsid w:val="001235F4"/>
    <w:rsid w:val="001277F3"/>
    <w:rsid w:val="00131C1C"/>
    <w:rsid w:val="00135749"/>
    <w:rsid w:val="00141059"/>
    <w:rsid w:val="00142047"/>
    <w:rsid w:val="00147DDA"/>
    <w:rsid w:val="00151554"/>
    <w:rsid w:val="0015368F"/>
    <w:rsid w:val="001547B1"/>
    <w:rsid w:val="001548A0"/>
    <w:rsid w:val="00163FE8"/>
    <w:rsid w:val="00164882"/>
    <w:rsid w:val="00164E57"/>
    <w:rsid w:val="00172464"/>
    <w:rsid w:val="00176970"/>
    <w:rsid w:val="00181A44"/>
    <w:rsid w:val="001842AD"/>
    <w:rsid w:val="001875D5"/>
    <w:rsid w:val="00193BAD"/>
    <w:rsid w:val="00194A40"/>
    <w:rsid w:val="00197402"/>
    <w:rsid w:val="001A5C6E"/>
    <w:rsid w:val="001A6CA7"/>
    <w:rsid w:val="001B019E"/>
    <w:rsid w:val="001B533F"/>
    <w:rsid w:val="001C11F1"/>
    <w:rsid w:val="001C3734"/>
    <w:rsid w:val="001C47C5"/>
    <w:rsid w:val="001C537B"/>
    <w:rsid w:val="001C5D00"/>
    <w:rsid w:val="001C6AFE"/>
    <w:rsid w:val="001E151F"/>
    <w:rsid w:val="001E5A95"/>
    <w:rsid w:val="001E6D05"/>
    <w:rsid w:val="001F25C7"/>
    <w:rsid w:val="001F6C97"/>
    <w:rsid w:val="001F6D94"/>
    <w:rsid w:val="00202A6D"/>
    <w:rsid w:val="002032A2"/>
    <w:rsid w:val="0020400C"/>
    <w:rsid w:val="00213185"/>
    <w:rsid w:val="00213337"/>
    <w:rsid w:val="00214ACD"/>
    <w:rsid w:val="00222126"/>
    <w:rsid w:val="002263DC"/>
    <w:rsid w:val="00230B34"/>
    <w:rsid w:val="00232861"/>
    <w:rsid w:val="002343B6"/>
    <w:rsid w:val="0023707D"/>
    <w:rsid w:val="00241D83"/>
    <w:rsid w:val="00243F48"/>
    <w:rsid w:val="0024548D"/>
    <w:rsid w:val="00255D4A"/>
    <w:rsid w:val="00262831"/>
    <w:rsid w:val="002631F8"/>
    <w:rsid w:val="00263682"/>
    <w:rsid w:val="00265EBC"/>
    <w:rsid w:val="002705D5"/>
    <w:rsid w:val="00272C49"/>
    <w:rsid w:val="002752A4"/>
    <w:rsid w:val="00275AA3"/>
    <w:rsid w:val="0028381F"/>
    <w:rsid w:val="00283EA5"/>
    <w:rsid w:val="00284CEE"/>
    <w:rsid w:val="002853B0"/>
    <w:rsid w:val="00287076"/>
    <w:rsid w:val="00292CEC"/>
    <w:rsid w:val="002952EE"/>
    <w:rsid w:val="002A3FF7"/>
    <w:rsid w:val="002A6BF2"/>
    <w:rsid w:val="002B5BE3"/>
    <w:rsid w:val="002C1CFE"/>
    <w:rsid w:val="002C68B6"/>
    <w:rsid w:val="002D1A0C"/>
    <w:rsid w:val="002D2280"/>
    <w:rsid w:val="002D2AB7"/>
    <w:rsid w:val="002D38E4"/>
    <w:rsid w:val="002D44A7"/>
    <w:rsid w:val="002D4D1E"/>
    <w:rsid w:val="002E07C8"/>
    <w:rsid w:val="002E27D3"/>
    <w:rsid w:val="002E744B"/>
    <w:rsid w:val="002F03DC"/>
    <w:rsid w:val="002F0A7D"/>
    <w:rsid w:val="002F0FE0"/>
    <w:rsid w:val="002F1D46"/>
    <w:rsid w:val="002F55F5"/>
    <w:rsid w:val="003002F5"/>
    <w:rsid w:val="0030166D"/>
    <w:rsid w:val="00302DD2"/>
    <w:rsid w:val="00310657"/>
    <w:rsid w:val="003120AA"/>
    <w:rsid w:val="0031726F"/>
    <w:rsid w:val="003178D9"/>
    <w:rsid w:val="00330AA8"/>
    <w:rsid w:val="0033370C"/>
    <w:rsid w:val="00333D16"/>
    <w:rsid w:val="003361F2"/>
    <w:rsid w:val="0033733E"/>
    <w:rsid w:val="0033794D"/>
    <w:rsid w:val="003408FB"/>
    <w:rsid w:val="00343B51"/>
    <w:rsid w:val="00345A58"/>
    <w:rsid w:val="00346BCE"/>
    <w:rsid w:val="003519D3"/>
    <w:rsid w:val="00352DBF"/>
    <w:rsid w:val="00353663"/>
    <w:rsid w:val="00354229"/>
    <w:rsid w:val="00355CE7"/>
    <w:rsid w:val="003600C8"/>
    <w:rsid w:val="003614B2"/>
    <w:rsid w:val="00361A1A"/>
    <w:rsid w:val="00362715"/>
    <w:rsid w:val="003671E8"/>
    <w:rsid w:val="00373BFA"/>
    <w:rsid w:val="00374B3D"/>
    <w:rsid w:val="0038273B"/>
    <w:rsid w:val="00383231"/>
    <w:rsid w:val="00383C9B"/>
    <w:rsid w:val="00384341"/>
    <w:rsid w:val="00384549"/>
    <w:rsid w:val="003856CB"/>
    <w:rsid w:val="003908F8"/>
    <w:rsid w:val="003916CA"/>
    <w:rsid w:val="003930F2"/>
    <w:rsid w:val="00394C0D"/>
    <w:rsid w:val="00395E3F"/>
    <w:rsid w:val="003A7BD5"/>
    <w:rsid w:val="003A7CEF"/>
    <w:rsid w:val="003B068E"/>
    <w:rsid w:val="003B1E95"/>
    <w:rsid w:val="003B2638"/>
    <w:rsid w:val="003B4BBC"/>
    <w:rsid w:val="003C1702"/>
    <w:rsid w:val="003D19FA"/>
    <w:rsid w:val="003D334F"/>
    <w:rsid w:val="003E4CA3"/>
    <w:rsid w:val="003E6573"/>
    <w:rsid w:val="003E6767"/>
    <w:rsid w:val="003E6A7C"/>
    <w:rsid w:val="003F0108"/>
    <w:rsid w:val="0040134A"/>
    <w:rsid w:val="00401B09"/>
    <w:rsid w:val="004023CD"/>
    <w:rsid w:val="00402D54"/>
    <w:rsid w:val="00407B36"/>
    <w:rsid w:val="00410157"/>
    <w:rsid w:val="004164A3"/>
    <w:rsid w:val="0042234F"/>
    <w:rsid w:val="00426D04"/>
    <w:rsid w:val="00432934"/>
    <w:rsid w:val="00432A0C"/>
    <w:rsid w:val="00434828"/>
    <w:rsid w:val="00434DE6"/>
    <w:rsid w:val="00436A4B"/>
    <w:rsid w:val="00436FE0"/>
    <w:rsid w:val="00437562"/>
    <w:rsid w:val="004379E2"/>
    <w:rsid w:val="00441FEB"/>
    <w:rsid w:val="0044399A"/>
    <w:rsid w:val="00446AC7"/>
    <w:rsid w:val="004475AC"/>
    <w:rsid w:val="00447928"/>
    <w:rsid w:val="00450163"/>
    <w:rsid w:val="0045018B"/>
    <w:rsid w:val="00454CC0"/>
    <w:rsid w:val="00455BFF"/>
    <w:rsid w:val="004563CA"/>
    <w:rsid w:val="00462202"/>
    <w:rsid w:val="00464C53"/>
    <w:rsid w:val="00466D88"/>
    <w:rsid w:val="004705D9"/>
    <w:rsid w:val="00471BBF"/>
    <w:rsid w:val="00474F58"/>
    <w:rsid w:val="00475B05"/>
    <w:rsid w:val="004868B5"/>
    <w:rsid w:val="00486E91"/>
    <w:rsid w:val="00493A22"/>
    <w:rsid w:val="00494E2A"/>
    <w:rsid w:val="00496085"/>
    <w:rsid w:val="00496898"/>
    <w:rsid w:val="004A2C57"/>
    <w:rsid w:val="004A32BA"/>
    <w:rsid w:val="004A578B"/>
    <w:rsid w:val="004A6F7D"/>
    <w:rsid w:val="004B3C19"/>
    <w:rsid w:val="004B3C79"/>
    <w:rsid w:val="004B7137"/>
    <w:rsid w:val="004B7DD3"/>
    <w:rsid w:val="004B7EDE"/>
    <w:rsid w:val="004C0633"/>
    <w:rsid w:val="004C2C52"/>
    <w:rsid w:val="004C5427"/>
    <w:rsid w:val="004D173B"/>
    <w:rsid w:val="004E7AF6"/>
    <w:rsid w:val="004F0BAB"/>
    <w:rsid w:val="004F1FBB"/>
    <w:rsid w:val="004F23E4"/>
    <w:rsid w:val="004F25CF"/>
    <w:rsid w:val="004F5E51"/>
    <w:rsid w:val="00502596"/>
    <w:rsid w:val="00503B70"/>
    <w:rsid w:val="00503EC1"/>
    <w:rsid w:val="00505D84"/>
    <w:rsid w:val="0050707D"/>
    <w:rsid w:val="00511A3B"/>
    <w:rsid w:val="00512037"/>
    <w:rsid w:val="0052390B"/>
    <w:rsid w:val="00525075"/>
    <w:rsid w:val="005251AD"/>
    <w:rsid w:val="00534A5B"/>
    <w:rsid w:val="00537180"/>
    <w:rsid w:val="0053776D"/>
    <w:rsid w:val="00540C22"/>
    <w:rsid w:val="0054252A"/>
    <w:rsid w:val="00543696"/>
    <w:rsid w:val="00553BD8"/>
    <w:rsid w:val="00553DA1"/>
    <w:rsid w:val="0055460C"/>
    <w:rsid w:val="00555C82"/>
    <w:rsid w:val="00560770"/>
    <w:rsid w:val="00560C59"/>
    <w:rsid w:val="005612E3"/>
    <w:rsid w:val="00565920"/>
    <w:rsid w:val="0057011C"/>
    <w:rsid w:val="00572DB6"/>
    <w:rsid w:val="00574CBA"/>
    <w:rsid w:val="00581EED"/>
    <w:rsid w:val="005837F0"/>
    <w:rsid w:val="00584D28"/>
    <w:rsid w:val="00586B50"/>
    <w:rsid w:val="00590850"/>
    <w:rsid w:val="00593259"/>
    <w:rsid w:val="00594A1F"/>
    <w:rsid w:val="00596871"/>
    <w:rsid w:val="005A32B1"/>
    <w:rsid w:val="005A654B"/>
    <w:rsid w:val="005B1BB3"/>
    <w:rsid w:val="005B3081"/>
    <w:rsid w:val="005B53F9"/>
    <w:rsid w:val="005B59D9"/>
    <w:rsid w:val="005C1EBE"/>
    <w:rsid w:val="005C4A59"/>
    <w:rsid w:val="005C7D73"/>
    <w:rsid w:val="005D14AE"/>
    <w:rsid w:val="005D1C3A"/>
    <w:rsid w:val="005D5D89"/>
    <w:rsid w:val="005E1C94"/>
    <w:rsid w:val="005E4BB6"/>
    <w:rsid w:val="005E5A8E"/>
    <w:rsid w:val="005F0E9E"/>
    <w:rsid w:val="005F190D"/>
    <w:rsid w:val="005F7BA8"/>
    <w:rsid w:val="005F7F64"/>
    <w:rsid w:val="00601C96"/>
    <w:rsid w:val="006060DC"/>
    <w:rsid w:val="00607155"/>
    <w:rsid w:val="006126AE"/>
    <w:rsid w:val="00633938"/>
    <w:rsid w:val="00633DA0"/>
    <w:rsid w:val="006412A4"/>
    <w:rsid w:val="006415D4"/>
    <w:rsid w:val="006418DB"/>
    <w:rsid w:val="006453D2"/>
    <w:rsid w:val="00654269"/>
    <w:rsid w:val="00655534"/>
    <w:rsid w:val="00660C60"/>
    <w:rsid w:val="006621E9"/>
    <w:rsid w:val="0066524B"/>
    <w:rsid w:val="00670696"/>
    <w:rsid w:val="006828B2"/>
    <w:rsid w:val="006845CF"/>
    <w:rsid w:val="00685620"/>
    <w:rsid w:val="00686549"/>
    <w:rsid w:val="00696DB5"/>
    <w:rsid w:val="00697291"/>
    <w:rsid w:val="006975A9"/>
    <w:rsid w:val="006A3BBB"/>
    <w:rsid w:val="006A4C83"/>
    <w:rsid w:val="006A5456"/>
    <w:rsid w:val="006B1A6F"/>
    <w:rsid w:val="006B2A8D"/>
    <w:rsid w:val="006B64D2"/>
    <w:rsid w:val="006C255B"/>
    <w:rsid w:val="006C41F9"/>
    <w:rsid w:val="006C44D3"/>
    <w:rsid w:val="006C7CF5"/>
    <w:rsid w:val="006D0F34"/>
    <w:rsid w:val="006D1080"/>
    <w:rsid w:val="006D2BF0"/>
    <w:rsid w:val="006D35E8"/>
    <w:rsid w:val="006D3DD7"/>
    <w:rsid w:val="006D56FB"/>
    <w:rsid w:val="006E03AA"/>
    <w:rsid w:val="006E158C"/>
    <w:rsid w:val="006E3B8E"/>
    <w:rsid w:val="006E45D7"/>
    <w:rsid w:val="006E7290"/>
    <w:rsid w:val="006F1F43"/>
    <w:rsid w:val="006F2576"/>
    <w:rsid w:val="006F39D8"/>
    <w:rsid w:val="006F46BF"/>
    <w:rsid w:val="006F46FA"/>
    <w:rsid w:val="006F486F"/>
    <w:rsid w:val="006F5602"/>
    <w:rsid w:val="007001FE"/>
    <w:rsid w:val="00700AC9"/>
    <w:rsid w:val="00701199"/>
    <w:rsid w:val="00706346"/>
    <w:rsid w:val="007100E9"/>
    <w:rsid w:val="00712930"/>
    <w:rsid w:val="00713B69"/>
    <w:rsid w:val="0071458C"/>
    <w:rsid w:val="007169EF"/>
    <w:rsid w:val="0071722A"/>
    <w:rsid w:val="00725CA7"/>
    <w:rsid w:val="0072657E"/>
    <w:rsid w:val="007272F0"/>
    <w:rsid w:val="0073126F"/>
    <w:rsid w:val="00735F8B"/>
    <w:rsid w:val="0074443D"/>
    <w:rsid w:val="0074500D"/>
    <w:rsid w:val="0074695D"/>
    <w:rsid w:val="00747998"/>
    <w:rsid w:val="00747F63"/>
    <w:rsid w:val="00750F03"/>
    <w:rsid w:val="00754F4B"/>
    <w:rsid w:val="00760A2D"/>
    <w:rsid w:val="00762D3E"/>
    <w:rsid w:val="00763891"/>
    <w:rsid w:val="007643D9"/>
    <w:rsid w:val="00765B65"/>
    <w:rsid w:val="0076629F"/>
    <w:rsid w:val="00766A55"/>
    <w:rsid w:val="00767902"/>
    <w:rsid w:val="00772668"/>
    <w:rsid w:val="00772796"/>
    <w:rsid w:val="007775FC"/>
    <w:rsid w:val="00790C1E"/>
    <w:rsid w:val="007917E9"/>
    <w:rsid w:val="007920A4"/>
    <w:rsid w:val="007935CD"/>
    <w:rsid w:val="00796296"/>
    <w:rsid w:val="007962F7"/>
    <w:rsid w:val="00797BD4"/>
    <w:rsid w:val="007A1BF9"/>
    <w:rsid w:val="007A1D36"/>
    <w:rsid w:val="007A684A"/>
    <w:rsid w:val="007A6B5B"/>
    <w:rsid w:val="007A7365"/>
    <w:rsid w:val="007B4FD6"/>
    <w:rsid w:val="007C3997"/>
    <w:rsid w:val="007C6995"/>
    <w:rsid w:val="007D33D8"/>
    <w:rsid w:val="007D60DF"/>
    <w:rsid w:val="007D6AFF"/>
    <w:rsid w:val="007D7B7D"/>
    <w:rsid w:val="007E293F"/>
    <w:rsid w:val="007E3128"/>
    <w:rsid w:val="007E542B"/>
    <w:rsid w:val="007F3BE7"/>
    <w:rsid w:val="007F7E14"/>
    <w:rsid w:val="00800CB6"/>
    <w:rsid w:val="00801ADA"/>
    <w:rsid w:val="00801EA9"/>
    <w:rsid w:val="00807EEA"/>
    <w:rsid w:val="008134B2"/>
    <w:rsid w:val="00814622"/>
    <w:rsid w:val="0081473F"/>
    <w:rsid w:val="00816392"/>
    <w:rsid w:val="0082106E"/>
    <w:rsid w:val="00822319"/>
    <w:rsid w:val="008266A0"/>
    <w:rsid w:val="008268DB"/>
    <w:rsid w:val="00831181"/>
    <w:rsid w:val="00831804"/>
    <w:rsid w:val="00834D92"/>
    <w:rsid w:val="008352B6"/>
    <w:rsid w:val="00835AAA"/>
    <w:rsid w:val="00837458"/>
    <w:rsid w:val="00837E46"/>
    <w:rsid w:val="0084199B"/>
    <w:rsid w:val="00850462"/>
    <w:rsid w:val="0085342D"/>
    <w:rsid w:val="008558EA"/>
    <w:rsid w:val="0086134A"/>
    <w:rsid w:val="0086186C"/>
    <w:rsid w:val="00865526"/>
    <w:rsid w:val="00865C80"/>
    <w:rsid w:val="00870A1F"/>
    <w:rsid w:val="00876ACB"/>
    <w:rsid w:val="008800B9"/>
    <w:rsid w:val="00880E99"/>
    <w:rsid w:val="00882AB4"/>
    <w:rsid w:val="0088616E"/>
    <w:rsid w:val="00887942"/>
    <w:rsid w:val="00887E59"/>
    <w:rsid w:val="008911B9"/>
    <w:rsid w:val="008935EB"/>
    <w:rsid w:val="00893B04"/>
    <w:rsid w:val="00894184"/>
    <w:rsid w:val="00895A28"/>
    <w:rsid w:val="008969FE"/>
    <w:rsid w:val="008A4AC3"/>
    <w:rsid w:val="008A5350"/>
    <w:rsid w:val="008B6E8C"/>
    <w:rsid w:val="008B7DF4"/>
    <w:rsid w:val="008C0D91"/>
    <w:rsid w:val="008C11A4"/>
    <w:rsid w:val="008C1B8C"/>
    <w:rsid w:val="008D7AE1"/>
    <w:rsid w:val="008E1A64"/>
    <w:rsid w:val="008E31FA"/>
    <w:rsid w:val="008E57C5"/>
    <w:rsid w:val="008F478B"/>
    <w:rsid w:val="008F4BB9"/>
    <w:rsid w:val="008F4FA7"/>
    <w:rsid w:val="008F7548"/>
    <w:rsid w:val="009016C8"/>
    <w:rsid w:val="00901FD3"/>
    <w:rsid w:val="00903CD1"/>
    <w:rsid w:val="00903F1A"/>
    <w:rsid w:val="0090454D"/>
    <w:rsid w:val="00905304"/>
    <w:rsid w:val="009054BE"/>
    <w:rsid w:val="00906C1B"/>
    <w:rsid w:val="0091523C"/>
    <w:rsid w:val="00915B80"/>
    <w:rsid w:val="00923DB9"/>
    <w:rsid w:val="0092523A"/>
    <w:rsid w:val="00926FFD"/>
    <w:rsid w:val="009311B4"/>
    <w:rsid w:val="009401D9"/>
    <w:rsid w:val="00945A01"/>
    <w:rsid w:val="009466A1"/>
    <w:rsid w:val="0094673B"/>
    <w:rsid w:val="0094713C"/>
    <w:rsid w:val="00947424"/>
    <w:rsid w:val="009543DB"/>
    <w:rsid w:val="00954D42"/>
    <w:rsid w:val="009570B2"/>
    <w:rsid w:val="00960F7F"/>
    <w:rsid w:val="00962AC7"/>
    <w:rsid w:val="00966ACB"/>
    <w:rsid w:val="00971EC9"/>
    <w:rsid w:val="009738E2"/>
    <w:rsid w:val="00984164"/>
    <w:rsid w:val="00984911"/>
    <w:rsid w:val="00986A83"/>
    <w:rsid w:val="009922E8"/>
    <w:rsid w:val="0099314D"/>
    <w:rsid w:val="00996DC1"/>
    <w:rsid w:val="009A209D"/>
    <w:rsid w:val="009A3902"/>
    <w:rsid w:val="009A48FE"/>
    <w:rsid w:val="009A4AFF"/>
    <w:rsid w:val="009B468A"/>
    <w:rsid w:val="009B67F0"/>
    <w:rsid w:val="009C1068"/>
    <w:rsid w:val="009C60FE"/>
    <w:rsid w:val="009D60CC"/>
    <w:rsid w:val="009D6C25"/>
    <w:rsid w:val="009D7D83"/>
    <w:rsid w:val="009E1E95"/>
    <w:rsid w:val="009E4BCE"/>
    <w:rsid w:val="009E4D5F"/>
    <w:rsid w:val="009E536C"/>
    <w:rsid w:val="009E6DD5"/>
    <w:rsid w:val="009E7842"/>
    <w:rsid w:val="009F18E3"/>
    <w:rsid w:val="009F2848"/>
    <w:rsid w:val="009F4CF3"/>
    <w:rsid w:val="00A000EB"/>
    <w:rsid w:val="00A02444"/>
    <w:rsid w:val="00A06F33"/>
    <w:rsid w:val="00A07A96"/>
    <w:rsid w:val="00A10A8E"/>
    <w:rsid w:val="00A10E1E"/>
    <w:rsid w:val="00A144CC"/>
    <w:rsid w:val="00A15D8C"/>
    <w:rsid w:val="00A23B24"/>
    <w:rsid w:val="00A33D98"/>
    <w:rsid w:val="00A41725"/>
    <w:rsid w:val="00A4267B"/>
    <w:rsid w:val="00A44CA2"/>
    <w:rsid w:val="00A44E38"/>
    <w:rsid w:val="00A450C8"/>
    <w:rsid w:val="00A5037F"/>
    <w:rsid w:val="00A51166"/>
    <w:rsid w:val="00A53DF4"/>
    <w:rsid w:val="00A5721B"/>
    <w:rsid w:val="00A60D01"/>
    <w:rsid w:val="00A618EE"/>
    <w:rsid w:val="00A62095"/>
    <w:rsid w:val="00A62C68"/>
    <w:rsid w:val="00A63EA5"/>
    <w:rsid w:val="00A64D83"/>
    <w:rsid w:val="00A64E3E"/>
    <w:rsid w:val="00A66DC0"/>
    <w:rsid w:val="00A70496"/>
    <w:rsid w:val="00A7106C"/>
    <w:rsid w:val="00A754FB"/>
    <w:rsid w:val="00A7691D"/>
    <w:rsid w:val="00A8122B"/>
    <w:rsid w:val="00A964D7"/>
    <w:rsid w:val="00AA1347"/>
    <w:rsid w:val="00AA225B"/>
    <w:rsid w:val="00AA7643"/>
    <w:rsid w:val="00AB1256"/>
    <w:rsid w:val="00AB2153"/>
    <w:rsid w:val="00AB3522"/>
    <w:rsid w:val="00AB5457"/>
    <w:rsid w:val="00AB5D56"/>
    <w:rsid w:val="00AB686A"/>
    <w:rsid w:val="00AB6EE2"/>
    <w:rsid w:val="00AB77AA"/>
    <w:rsid w:val="00AC30F2"/>
    <w:rsid w:val="00AC3298"/>
    <w:rsid w:val="00AC56B6"/>
    <w:rsid w:val="00AC749C"/>
    <w:rsid w:val="00AD2EE0"/>
    <w:rsid w:val="00AD79D4"/>
    <w:rsid w:val="00AD7D8F"/>
    <w:rsid w:val="00AE1CA6"/>
    <w:rsid w:val="00AE242C"/>
    <w:rsid w:val="00AE2655"/>
    <w:rsid w:val="00AE5BFE"/>
    <w:rsid w:val="00AF1098"/>
    <w:rsid w:val="00B00997"/>
    <w:rsid w:val="00B0282E"/>
    <w:rsid w:val="00B02C37"/>
    <w:rsid w:val="00B064E5"/>
    <w:rsid w:val="00B07803"/>
    <w:rsid w:val="00B07FCC"/>
    <w:rsid w:val="00B11444"/>
    <w:rsid w:val="00B11BA6"/>
    <w:rsid w:val="00B120D8"/>
    <w:rsid w:val="00B131E8"/>
    <w:rsid w:val="00B14CB4"/>
    <w:rsid w:val="00B16DFB"/>
    <w:rsid w:val="00B20F04"/>
    <w:rsid w:val="00B219C0"/>
    <w:rsid w:val="00B23C21"/>
    <w:rsid w:val="00B243A7"/>
    <w:rsid w:val="00B42CF7"/>
    <w:rsid w:val="00B45065"/>
    <w:rsid w:val="00B4560B"/>
    <w:rsid w:val="00B47947"/>
    <w:rsid w:val="00B53B74"/>
    <w:rsid w:val="00B56F47"/>
    <w:rsid w:val="00B62D0F"/>
    <w:rsid w:val="00B66462"/>
    <w:rsid w:val="00B675BC"/>
    <w:rsid w:val="00B67731"/>
    <w:rsid w:val="00B72263"/>
    <w:rsid w:val="00B8370C"/>
    <w:rsid w:val="00B84AB9"/>
    <w:rsid w:val="00B8588F"/>
    <w:rsid w:val="00B864BD"/>
    <w:rsid w:val="00B86A97"/>
    <w:rsid w:val="00B86BC8"/>
    <w:rsid w:val="00B93A04"/>
    <w:rsid w:val="00B947C0"/>
    <w:rsid w:val="00B966C1"/>
    <w:rsid w:val="00BA71B5"/>
    <w:rsid w:val="00BB0FF5"/>
    <w:rsid w:val="00BB5034"/>
    <w:rsid w:val="00BB5581"/>
    <w:rsid w:val="00BB7AD9"/>
    <w:rsid w:val="00BC3869"/>
    <w:rsid w:val="00BC4A32"/>
    <w:rsid w:val="00BC7C10"/>
    <w:rsid w:val="00BD4B60"/>
    <w:rsid w:val="00BD511C"/>
    <w:rsid w:val="00BE1541"/>
    <w:rsid w:val="00BE19AA"/>
    <w:rsid w:val="00BE2770"/>
    <w:rsid w:val="00BE65E0"/>
    <w:rsid w:val="00BE766C"/>
    <w:rsid w:val="00BF1793"/>
    <w:rsid w:val="00BF59C5"/>
    <w:rsid w:val="00BF7D71"/>
    <w:rsid w:val="00C0309E"/>
    <w:rsid w:val="00C05823"/>
    <w:rsid w:val="00C11038"/>
    <w:rsid w:val="00C16CDA"/>
    <w:rsid w:val="00C1709B"/>
    <w:rsid w:val="00C2132A"/>
    <w:rsid w:val="00C23366"/>
    <w:rsid w:val="00C258A9"/>
    <w:rsid w:val="00C260EB"/>
    <w:rsid w:val="00C31154"/>
    <w:rsid w:val="00C316FD"/>
    <w:rsid w:val="00C318C2"/>
    <w:rsid w:val="00C32895"/>
    <w:rsid w:val="00C32E6E"/>
    <w:rsid w:val="00C40E15"/>
    <w:rsid w:val="00C5022D"/>
    <w:rsid w:val="00C51D75"/>
    <w:rsid w:val="00C55D14"/>
    <w:rsid w:val="00C60E4E"/>
    <w:rsid w:val="00C64B64"/>
    <w:rsid w:val="00C708E9"/>
    <w:rsid w:val="00C7247F"/>
    <w:rsid w:val="00C754FC"/>
    <w:rsid w:val="00C766CB"/>
    <w:rsid w:val="00C77BA4"/>
    <w:rsid w:val="00C801F1"/>
    <w:rsid w:val="00C830D1"/>
    <w:rsid w:val="00C86BFE"/>
    <w:rsid w:val="00C86C11"/>
    <w:rsid w:val="00C93234"/>
    <w:rsid w:val="00C942B6"/>
    <w:rsid w:val="00C948F3"/>
    <w:rsid w:val="00C97A59"/>
    <w:rsid w:val="00CA302F"/>
    <w:rsid w:val="00CA54D4"/>
    <w:rsid w:val="00CA682A"/>
    <w:rsid w:val="00CB0785"/>
    <w:rsid w:val="00CB0841"/>
    <w:rsid w:val="00CB101A"/>
    <w:rsid w:val="00CB3C2C"/>
    <w:rsid w:val="00CB4E54"/>
    <w:rsid w:val="00CB5A44"/>
    <w:rsid w:val="00CB7FD4"/>
    <w:rsid w:val="00CC3336"/>
    <w:rsid w:val="00CC6358"/>
    <w:rsid w:val="00CD1205"/>
    <w:rsid w:val="00CE09E5"/>
    <w:rsid w:val="00CE2468"/>
    <w:rsid w:val="00CE28E0"/>
    <w:rsid w:val="00CE2FA7"/>
    <w:rsid w:val="00CE4CF1"/>
    <w:rsid w:val="00CE5A23"/>
    <w:rsid w:val="00CF3A60"/>
    <w:rsid w:val="00CF66A9"/>
    <w:rsid w:val="00D005F9"/>
    <w:rsid w:val="00D012D4"/>
    <w:rsid w:val="00D0378C"/>
    <w:rsid w:val="00D1050D"/>
    <w:rsid w:val="00D1400C"/>
    <w:rsid w:val="00D14E1D"/>
    <w:rsid w:val="00D215B1"/>
    <w:rsid w:val="00D225EA"/>
    <w:rsid w:val="00D25411"/>
    <w:rsid w:val="00D26C1D"/>
    <w:rsid w:val="00D27A29"/>
    <w:rsid w:val="00D30013"/>
    <w:rsid w:val="00D3383A"/>
    <w:rsid w:val="00D36BC0"/>
    <w:rsid w:val="00D37352"/>
    <w:rsid w:val="00D376E5"/>
    <w:rsid w:val="00D3794D"/>
    <w:rsid w:val="00D42224"/>
    <w:rsid w:val="00D47C42"/>
    <w:rsid w:val="00D5029F"/>
    <w:rsid w:val="00D503F8"/>
    <w:rsid w:val="00D52B20"/>
    <w:rsid w:val="00D543BF"/>
    <w:rsid w:val="00D55AAC"/>
    <w:rsid w:val="00D55CEC"/>
    <w:rsid w:val="00D56815"/>
    <w:rsid w:val="00D6056B"/>
    <w:rsid w:val="00D61555"/>
    <w:rsid w:val="00D63F59"/>
    <w:rsid w:val="00D6464A"/>
    <w:rsid w:val="00D677E9"/>
    <w:rsid w:val="00D67C5F"/>
    <w:rsid w:val="00D67FFD"/>
    <w:rsid w:val="00D72C26"/>
    <w:rsid w:val="00D77D67"/>
    <w:rsid w:val="00D806E5"/>
    <w:rsid w:val="00D82AC8"/>
    <w:rsid w:val="00D900D4"/>
    <w:rsid w:val="00D91F17"/>
    <w:rsid w:val="00D941D8"/>
    <w:rsid w:val="00D94AD5"/>
    <w:rsid w:val="00DA0926"/>
    <w:rsid w:val="00DA2E4D"/>
    <w:rsid w:val="00DA6E69"/>
    <w:rsid w:val="00DB335A"/>
    <w:rsid w:val="00DB5EFB"/>
    <w:rsid w:val="00DC07E5"/>
    <w:rsid w:val="00DC5B1C"/>
    <w:rsid w:val="00DD1D2B"/>
    <w:rsid w:val="00DD501A"/>
    <w:rsid w:val="00DE2B94"/>
    <w:rsid w:val="00DE3205"/>
    <w:rsid w:val="00DE3DEF"/>
    <w:rsid w:val="00DE6BA5"/>
    <w:rsid w:val="00DE7CA5"/>
    <w:rsid w:val="00DF3447"/>
    <w:rsid w:val="00DF4884"/>
    <w:rsid w:val="00DF5C83"/>
    <w:rsid w:val="00E057D5"/>
    <w:rsid w:val="00E05863"/>
    <w:rsid w:val="00E05BBC"/>
    <w:rsid w:val="00E06779"/>
    <w:rsid w:val="00E07659"/>
    <w:rsid w:val="00E10D91"/>
    <w:rsid w:val="00E15399"/>
    <w:rsid w:val="00E21375"/>
    <w:rsid w:val="00E23F4C"/>
    <w:rsid w:val="00E26D4D"/>
    <w:rsid w:val="00E305AC"/>
    <w:rsid w:val="00E31A69"/>
    <w:rsid w:val="00E33ACF"/>
    <w:rsid w:val="00E41852"/>
    <w:rsid w:val="00E43E9F"/>
    <w:rsid w:val="00E45428"/>
    <w:rsid w:val="00E47615"/>
    <w:rsid w:val="00E50785"/>
    <w:rsid w:val="00E534EB"/>
    <w:rsid w:val="00E62196"/>
    <w:rsid w:val="00E636C0"/>
    <w:rsid w:val="00E649C1"/>
    <w:rsid w:val="00E65C0E"/>
    <w:rsid w:val="00E66C50"/>
    <w:rsid w:val="00E6795F"/>
    <w:rsid w:val="00E71CE0"/>
    <w:rsid w:val="00E72CB0"/>
    <w:rsid w:val="00E73EA5"/>
    <w:rsid w:val="00E74A58"/>
    <w:rsid w:val="00E74B9F"/>
    <w:rsid w:val="00E75A7D"/>
    <w:rsid w:val="00E94F0F"/>
    <w:rsid w:val="00EA145F"/>
    <w:rsid w:val="00EA183A"/>
    <w:rsid w:val="00EA222B"/>
    <w:rsid w:val="00EA6D22"/>
    <w:rsid w:val="00EB26E8"/>
    <w:rsid w:val="00EB2A94"/>
    <w:rsid w:val="00EB6468"/>
    <w:rsid w:val="00EB7961"/>
    <w:rsid w:val="00EC35E9"/>
    <w:rsid w:val="00EC7CDD"/>
    <w:rsid w:val="00ED4D48"/>
    <w:rsid w:val="00ED55BE"/>
    <w:rsid w:val="00ED5E0C"/>
    <w:rsid w:val="00ED7CCF"/>
    <w:rsid w:val="00EE0AAF"/>
    <w:rsid w:val="00EF37BC"/>
    <w:rsid w:val="00F02022"/>
    <w:rsid w:val="00F0216E"/>
    <w:rsid w:val="00F1327F"/>
    <w:rsid w:val="00F1788F"/>
    <w:rsid w:val="00F21708"/>
    <w:rsid w:val="00F21EAB"/>
    <w:rsid w:val="00F220CA"/>
    <w:rsid w:val="00F229C3"/>
    <w:rsid w:val="00F22A3B"/>
    <w:rsid w:val="00F2333F"/>
    <w:rsid w:val="00F30E53"/>
    <w:rsid w:val="00F3563C"/>
    <w:rsid w:val="00F35D6E"/>
    <w:rsid w:val="00F407A3"/>
    <w:rsid w:val="00F4154B"/>
    <w:rsid w:val="00F45418"/>
    <w:rsid w:val="00F462CC"/>
    <w:rsid w:val="00F46DD3"/>
    <w:rsid w:val="00F51DBB"/>
    <w:rsid w:val="00F60F22"/>
    <w:rsid w:val="00F6126C"/>
    <w:rsid w:val="00F64493"/>
    <w:rsid w:val="00F6543D"/>
    <w:rsid w:val="00F67B03"/>
    <w:rsid w:val="00F70030"/>
    <w:rsid w:val="00F71C96"/>
    <w:rsid w:val="00F72FA7"/>
    <w:rsid w:val="00F73689"/>
    <w:rsid w:val="00F744D3"/>
    <w:rsid w:val="00F75116"/>
    <w:rsid w:val="00F8262C"/>
    <w:rsid w:val="00F83B80"/>
    <w:rsid w:val="00F873DD"/>
    <w:rsid w:val="00F90F89"/>
    <w:rsid w:val="00F91EC4"/>
    <w:rsid w:val="00F94AA4"/>
    <w:rsid w:val="00FA437A"/>
    <w:rsid w:val="00FB4438"/>
    <w:rsid w:val="00FC27CC"/>
    <w:rsid w:val="00FC3CF4"/>
    <w:rsid w:val="00FC4634"/>
    <w:rsid w:val="00FC4AEC"/>
    <w:rsid w:val="00FC4CF4"/>
    <w:rsid w:val="00FD4FE8"/>
    <w:rsid w:val="00FE1014"/>
    <w:rsid w:val="00FE32A7"/>
    <w:rsid w:val="00FE6E35"/>
    <w:rsid w:val="00FF01DC"/>
    <w:rsid w:val="00FF2984"/>
    <w:rsid w:val="00FF3C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FDC59"/>
  <w15:chartTrackingRefBased/>
  <w15:docId w15:val="{CAD35FCD-C165-4735-8B38-10F6C448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04E"/>
    <w:pPr>
      <w:spacing w:before="120" w:after="12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aliases w:val="Normal (Web) Car1,Normal (Web) Car Car,Normal (Web) Car1 Car Car,Normal (Web) Car Car Car Car, Car Car Car Car, Car Car Car, Car Car,Normal (Web) Car Car Car Car Car Car Car Car Car Car,Normal (Web) Car Car Car Car Car Car,Car,Car Car, Car"/>
    <w:basedOn w:val="Normal"/>
    <w:link w:val="NormalWebCar"/>
    <w:uiPriority w:val="99"/>
    <w:qFormat/>
    <w:rsid w:val="009C1068"/>
    <w:pPr>
      <w:spacing w:before="100" w:beforeAutospacing="1" w:after="100" w:afterAutospacing="1"/>
    </w:pPr>
    <w:rPr>
      <w:lang w:eastAsia="es-MX"/>
    </w:rPr>
  </w:style>
  <w:style w:type="character" w:customStyle="1" w:styleId="NormalWebCar">
    <w:name w:val="Normal (Web) Car"/>
    <w:aliases w:val="Normal (Web) Car1 Car,Normal (Web) Car Car Car,Normal (Web) Car1 Car Car Car,Normal (Web) Car Car Car Car Car, Car Car Car Car Car, Car Car Car Car1, Car Car Car1,Normal (Web) Car Car Car Car Car Car Car Car Car Car Car,Car Car1"/>
    <w:link w:val="NormalWeb"/>
    <w:uiPriority w:val="99"/>
    <w:rsid w:val="009C1068"/>
    <w:rPr>
      <w:rFonts w:ascii="Times New Roman" w:eastAsia="Times New Roman" w:hAnsi="Times New Roman" w:cs="Times New Roman"/>
      <w:sz w:val="24"/>
      <w:szCs w:val="24"/>
      <w:lang w:val="es-ES" w:eastAsia="es-MX"/>
    </w:rPr>
  </w:style>
  <w:style w:type="paragraph" w:styleId="Encabezado">
    <w:name w:val="header"/>
    <w:basedOn w:val="Normal"/>
    <w:link w:val="EncabezadoCar"/>
    <w:rsid w:val="009C1068"/>
    <w:pPr>
      <w:tabs>
        <w:tab w:val="center" w:pos="4252"/>
        <w:tab w:val="right" w:pos="8504"/>
      </w:tabs>
    </w:pPr>
  </w:style>
  <w:style w:type="character" w:customStyle="1" w:styleId="EncabezadoCar">
    <w:name w:val="Encabezado Car"/>
    <w:basedOn w:val="Fuentedeprrafopredeter"/>
    <w:link w:val="Encabezado"/>
    <w:rsid w:val="009C106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9C1068"/>
    <w:pPr>
      <w:tabs>
        <w:tab w:val="center" w:pos="4252"/>
        <w:tab w:val="right" w:pos="8504"/>
      </w:tabs>
    </w:pPr>
  </w:style>
  <w:style w:type="character" w:customStyle="1" w:styleId="PiedepginaCar">
    <w:name w:val="Pie de página Car"/>
    <w:basedOn w:val="Fuentedeprrafopredeter"/>
    <w:link w:val="Piedepgina"/>
    <w:uiPriority w:val="99"/>
    <w:rsid w:val="009C1068"/>
    <w:rPr>
      <w:rFonts w:ascii="Times New Roman" w:eastAsia="Times New Roman" w:hAnsi="Times New Roman" w:cs="Times New Roman"/>
      <w:sz w:val="24"/>
      <w:szCs w:val="24"/>
      <w:lang w:val="es-ES" w:eastAsia="es-ES"/>
    </w:rPr>
  </w:style>
  <w:style w:type="paragraph" w:styleId="Prrafodelista">
    <w:name w:val="List Paragraph"/>
    <w:aliases w:val="CNBV Parrafo1,Parrafo 1,Cita texto,Lista multicolor - Énfasis 11,Lista vistosa - Énfasis 11,Cuadrícula media 1 - Énfasis 21,Cuadrícula media 1 - Énfasis 211,List Paragraph-Thesis"/>
    <w:basedOn w:val="Normal"/>
    <w:link w:val="PrrafodelistaCar"/>
    <w:uiPriority w:val="34"/>
    <w:qFormat/>
    <w:rsid w:val="009C1068"/>
    <w:pPr>
      <w:ind w:left="708"/>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unhideWhenUsed/>
    <w:qFormat/>
    <w:rsid w:val="009C1068"/>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9C1068"/>
    <w:rPr>
      <w:rFonts w:ascii="Times New Roman" w:eastAsia="Times New Roman" w:hAnsi="Times New Roman" w:cs="Times New Roman"/>
      <w:sz w:val="20"/>
      <w:szCs w:val="20"/>
      <w:lang w:val="es-ES" w:eastAsia="es-ES"/>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ftref,Ref,julio"/>
    <w:link w:val="4GChar"/>
    <w:uiPriority w:val="99"/>
    <w:unhideWhenUsed/>
    <w:qFormat/>
    <w:rsid w:val="009C1068"/>
    <w:rPr>
      <w:vertAlign w:val="superscript"/>
    </w:rPr>
  </w:style>
  <w:style w:type="character" w:styleId="Hipervnculo">
    <w:name w:val="Hyperlink"/>
    <w:uiPriority w:val="99"/>
    <w:unhideWhenUsed/>
    <w:rsid w:val="009C1068"/>
    <w:rPr>
      <w:rFonts w:ascii="Arial" w:hAnsi="Arial" w:cs="Arial" w:hint="default"/>
      <w:strike w:val="0"/>
      <w:dstrike w:val="0"/>
      <w:color w:val="762123"/>
      <w:sz w:val="27"/>
      <w:szCs w:val="27"/>
      <w:u w:val="none"/>
      <w:effect w:val="none"/>
    </w:rPr>
  </w:style>
  <w:style w:type="character" w:styleId="Textoennegrita">
    <w:name w:val="Strong"/>
    <w:uiPriority w:val="22"/>
    <w:qFormat/>
    <w:rsid w:val="009C1068"/>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C1068"/>
    <w:pPr>
      <w:spacing w:before="0" w:after="0"/>
      <w:jc w:val="both"/>
    </w:pPr>
    <w:rPr>
      <w:rFonts w:asciiTheme="minorHAnsi" w:eastAsiaTheme="minorHAnsi" w:hAnsiTheme="minorHAnsi" w:cstheme="minorBidi"/>
      <w:sz w:val="22"/>
      <w:szCs w:val="22"/>
      <w:vertAlign w:val="superscript"/>
      <w:lang w:val="es-MX" w:eastAsia="en-US"/>
    </w:rPr>
  </w:style>
  <w:style w:type="character" w:customStyle="1" w:styleId="PrrafodelistaCar">
    <w:name w:val="Párrafo de lista Car"/>
    <w:aliases w:val="CNBV Parrafo1 Car,Parrafo 1 Car,Cita texto Car,Lista multicolor - Énfasis 11 Car,Lista vistosa - Énfasis 11 Car,Cuadrícula media 1 - Énfasis 21 Car,Cuadrícula media 1 - Énfasis 211 Car,List Paragraph-Thesis Car"/>
    <w:link w:val="Prrafodelista"/>
    <w:uiPriority w:val="34"/>
    <w:locked/>
    <w:rsid w:val="009C1068"/>
    <w:rPr>
      <w:rFonts w:ascii="Times New Roman" w:eastAsia="Times New Roman" w:hAnsi="Times New Roman" w:cs="Times New Roman"/>
      <w:sz w:val="24"/>
      <w:szCs w:val="24"/>
      <w:lang w:val="es-ES" w:eastAsia="es-ES"/>
    </w:rPr>
  </w:style>
  <w:style w:type="paragraph" w:styleId="Ttulo">
    <w:name w:val="Title"/>
    <w:basedOn w:val="Normal"/>
    <w:next w:val="Normal"/>
    <w:link w:val="TtuloCar"/>
    <w:uiPriority w:val="10"/>
    <w:qFormat/>
    <w:rsid w:val="009C1068"/>
    <w:pPr>
      <w:spacing w:before="0" w:after="0"/>
      <w:contextualSpacing/>
    </w:pPr>
    <w:rPr>
      <w:rFonts w:asciiTheme="majorHAnsi" w:eastAsiaTheme="majorEastAsia" w:hAnsiTheme="majorHAnsi" w:cstheme="majorBidi"/>
      <w:spacing w:val="-10"/>
      <w:kern w:val="28"/>
      <w:sz w:val="56"/>
      <w:szCs w:val="56"/>
      <w:lang w:val="es-MX" w:eastAsia="en-US"/>
    </w:rPr>
  </w:style>
  <w:style w:type="character" w:customStyle="1" w:styleId="TtuloCar">
    <w:name w:val="Título Car"/>
    <w:basedOn w:val="Fuentedeprrafopredeter"/>
    <w:link w:val="Ttulo"/>
    <w:uiPriority w:val="10"/>
    <w:rsid w:val="009C1068"/>
    <w:rPr>
      <w:rFonts w:asciiTheme="majorHAnsi" w:eastAsiaTheme="majorEastAsia" w:hAnsiTheme="majorHAnsi" w:cstheme="majorBidi"/>
      <w:spacing w:val="-10"/>
      <w:kern w:val="28"/>
      <w:sz w:val="56"/>
      <w:szCs w:val="56"/>
    </w:rPr>
  </w:style>
  <w:style w:type="paragraph" w:styleId="Sinespaciado">
    <w:name w:val="No Spacing"/>
    <w:link w:val="SinespaciadoCar"/>
    <w:uiPriority w:val="1"/>
    <w:qFormat/>
    <w:rsid w:val="009C1068"/>
    <w:pPr>
      <w:spacing w:after="0" w:line="240" w:lineRule="auto"/>
    </w:pPr>
    <w:rPr>
      <w:rFonts w:ascii="Times New Roman" w:eastAsia="Times New Roman" w:hAnsi="Times New Roman" w:cs="Times New Roman"/>
      <w:sz w:val="20"/>
      <w:szCs w:val="20"/>
      <w:lang w:eastAsia="es-MX"/>
    </w:rPr>
  </w:style>
  <w:style w:type="character" w:customStyle="1" w:styleId="SinespaciadoCar">
    <w:name w:val="Sin espaciado Car"/>
    <w:link w:val="Sinespaciado"/>
    <w:uiPriority w:val="1"/>
    <w:rsid w:val="009C1068"/>
    <w:rPr>
      <w:rFonts w:ascii="Times New Roman" w:eastAsia="Times New Roman" w:hAnsi="Times New Roman" w:cs="Times New Roman"/>
      <w:sz w:val="20"/>
      <w:szCs w:val="20"/>
      <w:lang w:eastAsia="es-MX"/>
    </w:rPr>
  </w:style>
  <w:style w:type="character" w:styleId="Refdecomentario">
    <w:name w:val="annotation reference"/>
    <w:basedOn w:val="Fuentedeprrafopredeter"/>
    <w:uiPriority w:val="99"/>
    <w:semiHidden/>
    <w:unhideWhenUsed/>
    <w:rsid w:val="009C1068"/>
    <w:rPr>
      <w:sz w:val="16"/>
      <w:szCs w:val="16"/>
    </w:rPr>
  </w:style>
  <w:style w:type="paragraph" w:styleId="Textocomentario">
    <w:name w:val="annotation text"/>
    <w:basedOn w:val="Normal"/>
    <w:link w:val="TextocomentarioCar"/>
    <w:uiPriority w:val="99"/>
    <w:semiHidden/>
    <w:unhideWhenUsed/>
    <w:rsid w:val="009C1068"/>
    <w:rPr>
      <w:sz w:val="20"/>
      <w:szCs w:val="20"/>
    </w:rPr>
  </w:style>
  <w:style w:type="character" w:customStyle="1" w:styleId="TextocomentarioCar">
    <w:name w:val="Texto comentario Car"/>
    <w:basedOn w:val="Fuentedeprrafopredeter"/>
    <w:link w:val="Textocomentario"/>
    <w:uiPriority w:val="99"/>
    <w:semiHidden/>
    <w:rsid w:val="009C106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C1068"/>
    <w:rPr>
      <w:b/>
      <w:bCs/>
    </w:rPr>
  </w:style>
  <w:style w:type="character" w:customStyle="1" w:styleId="AsuntodelcomentarioCar">
    <w:name w:val="Asunto del comentario Car"/>
    <w:basedOn w:val="TextocomentarioCar"/>
    <w:link w:val="Asuntodelcomentario"/>
    <w:uiPriority w:val="99"/>
    <w:semiHidden/>
    <w:rsid w:val="009C1068"/>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9C1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C1068"/>
    <w:pPr>
      <w:spacing w:after="0" w:line="240" w:lineRule="auto"/>
    </w:pPr>
    <w:rPr>
      <w:rFonts w:ascii="Times New Roman" w:eastAsia="Times New Roman" w:hAnsi="Times New Roman" w:cs="Times New Roman"/>
      <w:sz w:val="24"/>
      <w:szCs w:val="24"/>
      <w:lang w:val="es-ES" w:eastAsia="es-ES"/>
    </w:rPr>
  </w:style>
  <w:style w:type="character" w:customStyle="1" w:styleId="Mencinsinresolver1">
    <w:name w:val="Mención sin resolver1"/>
    <w:basedOn w:val="Fuentedeprrafopredeter"/>
    <w:uiPriority w:val="99"/>
    <w:semiHidden/>
    <w:unhideWhenUsed/>
    <w:rsid w:val="00C77BA4"/>
    <w:rPr>
      <w:color w:val="605E5C"/>
      <w:shd w:val="clear" w:color="auto" w:fill="E1DFDD"/>
    </w:rPr>
  </w:style>
  <w:style w:type="paragraph" w:styleId="Listaconvietas">
    <w:name w:val="List Bullet"/>
    <w:basedOn w:val="Normal"/>
    <w:uiPriority w:val="99"/>
    <w:unhideWhenUsed/>
    <w:rsid w:val="00754F4B"/>
    <w:pPr>
      <w:numPr>
        <w:numId w:val="25"/>
      </w:numPr>
      <w:contextualSpacing/>
    </w:pPr>
  </w:style>
  <w:style w:type="character" w:styleId="Mencinsinresolver">
    <w:name w:val="Unresolved Mention"/>
    <w:basedOn w:val="Fuentedeprrafopredeter"/>
    <w:uiPriority w:val="99"/>
    <w:semiHidden/>
    <w:unhideWhenUsed/>
    <w:rsid w:val="00887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24645">
      <w:bodyDiv w:val="1"/>
      <w:marLeft w:val="0"/>
      <w:marRight w:val="0"/>
      <w:marTop w:val="0"/>
      <w:marBottom w:val="0"/>
      <w:divBdr>
        <w:top w:val="none" w:sz="0" w:space="0" w:color="auto"/>
        <w:left w:val="none" w:sz="0" w:space="0" w:color="auto"/>
        <w:bottom w:val="none" w:sz="0" w:space="0" w:color="auto"/>
        <w:right w:val="none" w:sz="0" w:space="0" w:color="auto"/>
      </w:divBdr>
      <w:divsChild>
        <w:div w:id="2055619125">
          <w:marLeft w:val="0"/>
          <w:marRight w:val="0"/>
          <w:marTop w:val="0"/>
          <w:marBottom w:val="0"/>
          <w:divBdr>
            <w:top w:val="none" w:sz="0" w:space="0" w:color="auto"/>
            <w:left w:val="none" w:sz="0" w:space="0" w:color="auto"/>
            <w:bottom w:val="none" w:sz="0" w:space="0" w:color="auto"/>
            <w:right w:val="none" w:sz="0" w:space="0" w:color="auto"/>
          </w:divBdr>
        </w:div>
        <w:div w:id="109207329">
          <w:marLeft w:val="0"/>
          <w:marRight w:val="0"/>
          <w:marTop w:val="0"/>
          <w:marBottom w:val="0"/>
          <w:divBdr>
            <w:top w:val="none" w:sz="0" w:space="0" w:color="auto"/>
            <w:left w:val="none" w:sz="0" w:space="0" w:color="auto"/>
            <w:bottom w:val="none" w:sz="0" w:space="0" w:color="auto"/>
            <w:right w:val="none" w:sz="0" w:space="0" w:color="auto"/>
          </w:divBdr>
        </w:div>
        <w:div w:id="367535617">
          <w:marLeft w:val="0"/>
          <w:marRight w:val="0"/>
          <w:marTop w:val="0"/>
          <w:marBottom w:val="0"/>
          <w:divBdr>
            <w:top w:val="none" w:sz="0" w:space="0" w:color="auto"/>
            <w:left w:val="none" w:sz="0" w:space="0" w:color="auto"/>
            <w:bottom w:val="none" w:sz="0" w:space="0" w:color="auto"/>
            <w:right w:val="none" w:sz="0" w:space="0" w:color="auto"/>
          </w:divBdr>
        </w:div>
        <w:div w:id="80373337">
          <w:marLeft w:val="0"/>
          <w:marRight w:val="0"/>
          <w:marTop w:val="0"/>
          <w:marBottom w:val="0"/>
          <w:divBdr>
            <w:top w:val="none" w:sz="0" w:space="0" w:color="auto"/>
            <w:left w:val="none" w:sz="0" w:space="0" w:color="auto"/>
            <w:bottom w:val="none" w:sz="0" w:space="0" w:color="auto"/>
            <w:right w:val="none" w:sz="0" w:space="0" w:color="auto"/>
          </w:divBdr>
        </w:div>
        <w:div w:id="320473960">
          <w:marLeft w:val="0"/>
          <w:marRight w:val="0"/>
          <w:marTop w:val="0"/>
          <w:marBottom w:val="0"/>
          <w:divBdr>
            <w:top w:val="none" w:sz="0" w:space="0" w:color="auto"/>
            <w:left w:val="none" w:sz="0" w:space="0" w:color="auto"/>
            <w:bottom w:val="none" w:sz="0" w:space="0" w:color="auto"/>
            <w:right w:val="none" w:sz="0" w:space="0" w:color="auto"/>
          </w:divBdr>
        </w:div>
        <w:div w:id="752822833">
          <w:marLeft w:val="0"/>
          <w:marRight w:val="0"/>
          <w:marTop w:val="0"/>
          <w:marBottom w:val="0"/>
          <w:divBdr>
            <w:top w:val="none" w:sz="0" w:space="0" w:color="auto"/>
            <w:left w:val="none" w:sz="0" w:space="0" w:color="auto"/>
            <w:bottom w:val="none" w:sz="0" w:space="0" w:color="auto"/>
            <w:right w:val="none" w:sz="0" w:space="0" w:color="auto"/>
          </w:divBdr>
        </w:div>
        <w:div w:id="636885419">
          <w:marLeft w:val="0"/>
          <w:marRight w:val="0"/>
          <w:marTop w:val="0"/>
          <w:marBottom w:val="0"/>
          <w:divBdr>
            <w:top w:val="none" w:sz="0" w:space="0" w:color="auto"/>
            <w:left w:val="none" w:sz="0" w:space="0" w:color="auto"/>
            <w:bottom w:val="none" w:sz="0" w:space="0" w:color="auto"/>
            <w:right w:val="none" w:sz="0" w:space="0" w:color="auto"/>
          </w:divBdr>
        </w:div>
        <w:div w:id="1464814824">
          <w:marLeft w:val="0"/>
          <w:marRight w:val="0"/>
          <w:marTop w:val="0"/>
          <w:marBottom w:val="0"/>
          <w:divBdr>
            <w:top w:val="none" w:sz="0" w:space="0" w:color="auto"/>
            <w:left w:val="none" w:sz="0" w:space="0" w:color="auto"/>
            <w:bottom w:val="none" w:sz="0" w:space="0" w:color="auto"/>
            <w:right w:val="none" w:sz="0" w:space="0" w:color="auto"/>
          </w:divBdr>
        </w:div>
      </w:divsChild>
    </w:div>
    <w:div w:id="169100851">
      <w:bodyDiv w:val="1"/>
      <w:marLeft w:val="0"/>
      <w:marRight w:val="0"/>
      <w:marTop w:val="0"/>
      <w:marBottom w:val="0"/>
      <w:divBdr>
        <w:top w:val="none" w:sz="0" w:space="0" w:color="auto"/>
        <w:left w:val="none" w:sz="0" w:space="0" w:color="auto"/>
        <w:bottom w:val="none" w:sz="0" w:space="0" w:color="auto"/>
        <w:right w:val="none" w:sz="0" w:space="0" w:color="auto"/>
      </w:divBdr>
    </w:div>
    <w:div w:id="408038561">
      <w:bodyDiv w:val="1"/>
      <w:marLeft w:val="0"/>
      <w:marRight w:val="0"/>
      <w:marTop w:val="0"/>
      <w:marBottom w:val="0"/>
      <w:divBdr>
        <w:top w:val="none" w:sz="0" w:space="0" w:color="auto"/>
        <w:left w:val="none" w:sz="0" w:space="0" w:color="auto"/>
        <w:bottom w:val="none" w:sz="0" w:space="0" w:color="auto"/>
        <w:right w:val="none" w:sz="0" w:space="0" w:color="auto"/>
      </w:divBdr>
    </w:div>
    <w:div w:id="486552223">
      <w:bodyDiv w:val="1"/>
      <w:marLeft w:val="0"/>
      <w:marRight w:val="0"/>
      <w:marTop w:val="0"/>
      <w:marBottom w:val="0"/>
      <w:divBdr>
        <w:top w:val="none" w:sz="0" w:space="0" w:color="auto"/>
        <w:left w:val="none" w:sz="0" w:space="0" w:color="auto"/>
        <w:bottom w:val="none" w:sz="0" w:space="0" w:color="auto"/>
        <w:right w:val="none" w:sz="0" w:space="0" w:color="auto"/>
      </w:divBdr>
    </w:div>
    <w:div w:id="497039506">
      <w:bodyDiv w:val="1"/>
      <w:marLeft w:val="0"/>
      <w:marRight w:val="0"/>
      <w:marTop w:val="0"/>
      <w:marBottom w:val="0"/>
      <w:divBdr>
        <w:top w:val="none" w:sz="0" w:space="0" w:color="auto"/>
        <w:left w:val="none" w:sz="0" w:space="0" w:color="auto"/>
        <w:bottom w:val="none" w:sz="0" w:space="0" w:color="auto"/>
        <w:right w:val="none" w:sz="0" w:space="0" w:color="auto"/>
      </w:divBdr>
    </w:div>
    <w:div w:id="526992551">
      <w:bodyDiv w:val="1"/>
      <w:marLeft w:val="0"/>
      <w:marRight w:val="0"/>
      <w:marTop w:val="0"/>
      <w:marBottom w:val="0"/>
      <w:divBdr>
        <w:top w:val="none" w:sz="0" w:space="0" w:color="auto"/>
        <w:left w:val="none" w:sz="0" w:space="0" w:color="auto"/>
        <w:bottom w:val="none" w:sz="0" w:space="0" w:color="auto"/>
        <w:right w:val="none" w:sz="0" w:space="0" w:color="auto"/>
      </w:divBdr>
    </w:div>
    <w:div w:id="617642535">
      <w:bodyDiv w:val="1"/>
      <w:marLeft w:val="0"/>
      <w:marRight w:val="0"/>
      <w:marTop w:val="0"/>
      <w:marBottom w:val="0"/>
      <w:divBdr>
        <w:top w:val="none" w:sz="0" w:space="0" w:color="auto"/>
        <w:left w:val="none" w:sz="0" w:space="0" w:color="auto"/>
        <w:bottom w:val="none" w:sz="0" w:space="0" w:color="auto"/>
        <w:right w:val="none" w:sz="0" w:space="0" w:color="auto"/>
      </w:divBdr>
    </w:div>
    <w:div w:id="676035007">
      <w:bodyDiv w:val="1"/>
      <w:marLeft w:val="0"/>
      <w:marRight w:val="0"/>
      <w:marTop w:val="0"/>
      <w:marBottom w:val="0"/>
      <w:divBdr>
        <w:top w:val="none" w:sz="0" w:space="0" w:color="auto"/>
        <w:left w:val="none" w:sz="0" w:space="0" w:color="auto"/>
        <w:bottom w:val="none" w:sz="0" w:space="0" w:color="auto"/>
        <w:right w:val="none" w:sz="0" w:space="0" w:color="auto"/>
      </w:divBdr>
    </w:div>
    <w:div w:id="832649951">
      <w:bodyDiv w:val="1"/>
      <w:marLeft w:val="0"/>
      <w:marRight w:val="0"/>
      <w:marTop w:val="0"/>
      <w:marBottom w:val="0"/>
      <w:divBdr>
        <w:top w:val="none" w:sz="0" w:space="0" w:color="auto"/>
        <w:left w:val="none" w:sz="0" w:space="0" w:color="auto"/>
        <w:bottom w:val="none" w:sz="0" w:space="0" w:color="auto"/>
        <w:right w:val="none" w:sz="0" w:space="0" w:color="auto"/>
      </w:divBdr>
    </w:div>
    <w:div w:id="939800572">
      <w:bodyDiv w:val="1"/>
      <w:marLeft w:val="0"/>
      <w:marRight w:val="0"/>
      <w:marTop w:val="0"/>
      <w:marBottom w:val="0"/>
      <w:divBdr>
        <w:top w:val="none" w:sz="0" w:space="0" w:color="auto"/>
        <w:left w:val="none" w:sz="0" w:space="0" w:color="auto"/>
        <w:bottom w:val="none" w:sz="0" w:space="0" w:color="auto"/>
        <w:right w:val="none" w:sz="0" w:space="0" w:color="auto"/>
      </w:divBdr>
    </w:div>
    <w:div w:id="1019429749">
      <w:bodyDiv w:val="1"/>
      <w:marLeft w:val="0"/>
      <w:marRight w:val="0"/>
      <w:marTop w:val="0"/>
      <w:marBottom w:val="0"/>
      <w:divBdr>
        <w:top w:val="none" w:sz="0" w:space="0" w:color="auto"/>
        <w:left w:val="none" w:sz="0" w:space="0" w:color="auto"/>
        <w:bottom w:val="none" w:sz="0" w:space="0" w:color="auto"/>
        <w:right w:val="none" w:sz="0" w:space="0" w:color="auto"/>
      </w:divBdr>
    </w:div>
    <w:div w:id="1094668062">
      <w:bodyDiv w:val="1"/>
      <w:marLeft w:val="0"/>
      <w:marRight w:val="0"/>
      <w:marTop w:val="0"/>
      <w:marBottom w:val="0"/>
      <w:divBdr>
        <w:top w:val="none" w:sz="0" w:space="0" w:color="auto"/>
        <w:left w:val="none" w:sz="0" w:space="0" w:color="auto"/>
        <w:bottom w:val="none" w:sz="0" w:space="0" w:color="auto"/>
        <w:right w:val="none" w:sz="0" w:space="0" w:color="auto"/>
      </w:divBdr>
    </w:div>
    <w:div w:id="1157265439">
      <w:bodyDiv w:val="1"/>
      <w:marLeft w:val="0"/>
      <w:marRight w:val="0"/>
      <w:marTop w:val="0"/>
      <w:marBottom w:val="0"/>
      <w:divBdr>
        <w:top w:val="none" w:sz="0" w:space="0" w:color="auto"/>
        <w:left w:val="none" w:sz="0" w:space="0" w:color="auto"/>
        <w:bottom w:val="none" w:sz="0" w:space="0" w:color="auto"/>
        <w:right w:val="none" w:sz="0" w:space="0" w:color="auto"/>
      </w:divBdr>
    </w:div>
    <w:div w:id="1168136707">
      <w:bodyDiv w:val="1"/>
      <w:marLeft w:val="0"/>
      <w:marRight w:val="0"/>
      <w:marTop w:val="0"/>
      <w:marBottom w:val="0"/>
      <w:divBdr>
        <w:top w:val="none" w:sz="0" w:space="0" w:color="auto"/>
        <w:left w:val="none" w:sz="0" w:space="0" w:color="auto"/>
        <w:bottom w:val="none" w:sz="0" w:space="0" w:color="auto"/>
        <w:right w:val="none" w:sz="0" w:space="0" w:color="auto"/>
      </w:divBdr>
    </w:div>
    <w:div w:id="1202474918">
      <w:bodyDiv w:val="1"/>
      <w:marLeft w:val="0"/>
      <w:marRight w:val="0"/>
      <w:marTop w:val="0"/>
      <w:marBottom w:val="0"/>
      <w:divBdr>
        <w:top w:val="none" w:sz="0" w:space="0" w:color="auto"/>
        <w:left w:val="none" w:sz="0" w:space="0" w:color="auto"/>
        <w:bottom w:val="none" w:sz="0" w:space="0" w:color="auto"/>
        <w:right w:val="none" w:sz="0" w:space="0" w:color="auto"/>
      </w:divBdr>
    </w:div>
    <w:div w:id="1222983485">
      <w:bodyDiv w:val="1"/>
      <w:marLeft w:val="0"/>
      <w:marRight w:val="0"/>
      <w:marTop w:val="0"/>
      <w:marBottom w:val="0"/>
      <w:divBdr>
        <w:top w:val="none" w:sz="0" w:space="0" w:color="auto"/>
        <w:left w:val="none" w:sz="0" w:space="0" w:color="auto"/>
        <w:bottom w:val="none" w:sz="0" w:space="0" w:color="auto"/>
        <w:right w:val="none" w:sz="0" w:space="0" w:color="auto"/>
      </w:divBdr>
    </w:div>
    <w:div w:id="1305817357">
      <w:bodyDiv w:val="1"/>
      <w:marLeft w:val="0"/>
      <w:marRight w:val="0"/>
      <w:marTop w:val="0"/>
      <w:marBottom w:val="0"/>
      <w:divBdr>
        <w:top w:val="none" w:sz="0" w:space="0" w:color="auto"/>
        <w:left w:val="none" w:sz="0" w:space="0" w:color="auto"/>
        <w:bottom w:val="none" w:sz="0" w:space="0" w:color="auto"/>
        <w:right w:val="none" w:sz="0" w:space="0" w:color="auto"/>
      </w:divBdr>
    </w:div>
    <w:div w:id="1398547613">
      <w:bodyDiv w:val="1"/>
      <w:marLeft w:val="0"/>
      <w:marRight w:val="0"/>
      <w:marTop w:val="0"/>
      <w:marBottom w:val="0"/>
      <w:divBdr>
        <w:top w:val="none" w:sz="0" w:space="0" w:color="auto"/>
        <w:left w:val="none" w:sz="0" w:space="0" w:color="auto"/>
        <w:bottom w:val="none" w:sz="0" w:space="0" w:color="auto"/>
        <w:right w:val="none" w:sz="0" w:space="0" w:color="auto"/>
      </w:divBdr>
    </w:div>
    <w:div w:id="1802572884">
      <w:bodyDiv w:val="1"/>
      <w:marLeft w:val="0"/>
      <w:marRight w:val="0"/>
      <w:marTop w:val="0"/>
      <w:marBottom w:val="0"/>
      <w:divBdr>
        <w:top w:val="none" w:sz="0" w:space="0" w:color="auto"/>
        <w:left w:val="none" w:sz="0" w:space="0" w:color="auto"/>
        <w:bottom w:val="none" w:sz="0" w:space="0" w:color="auto"/>
        <w:right w:val="none" w:sz="0" w:space="0" w:color="auto"/>
      </w:divBdr>
    </w:div>
    <w:div w:id="1845002182">
      <w:bodyDiv w:val="1"/>
      <w:marLeft w:val="0"/>
      <w:marRight w:val="0"/>
      <w:marTop w:val="0"/>
      <w:marBottom w:val="0"/>
      <w:divBdr>
        <w:top w:val="none" w:sz="0" w:space="0" w:color="auto"/>
        <w:left w:val="none" w:sz="0" w:space="0" w:color="auto"/>
        <w:bottom w:val="none" w:sz="0" w:space="0" w:color="auto"/>
        <w:right w:val="none" w:sz="0" w:space="0" w:color="auto"/>
      </w:divBdr>
    </w:div>
    <w:div w:id="1861580957">
      <w:bodyDiv w:val="1"/>
      <w:marLeft w:val="0"/>
      <w:marRight w:val="0"/>
      <w:marTop w:val="0"/>
      <w:marBottom w:val="0"/>
      <w:divBdr>
        <w:top w:val="none" w:sz="0" w:space="0" w:color="auto"/>
        <w:left w:val="none" w:sz="0" w:space="0" w:color="auto"/>
        <w:bottom w:val="none" w:sz="0" w:space="0" w:color="auto"/>
        <w:right w:val="none" w:sz="0" w:space="0" w:color="auto"/>
      </w:divBdr>
      <w:divsChild>
        <w:div w:id="707026762">
          <w:marLeft w:val="0"/>
          <w:marRight w:val="0"/>
          <w:marTop w:val="0"/>
          <w:marBottom w:val="0"/>
          <w:divBdr>
            <w:top w:val="none" w:sz="0" w:space="0" w:color="auto"/>
            <w:left w:val="none" w:sz="0" w:space="0" w:color="auto"/>
            <w:bottom w:val="none" w:sz="0" w:space="0" w:color="auto"/>
            <w:right w:val="none" w:sz="0" w:space="0" w:color="auto"/>
          </w:divBdr>
        </w:div>
        <w:div w:id="1284577249">
          <w:marLeft w:val="0"/>
          <w:marRight w:val="0"/>
          <w:marTop w:val="0"/>
          <w:marBottom w:val="0"/>
          <w:divBdr>
            <w:top w:val="none" w:sz="0" w:space="0" w:color="auto"/>
            <w:left w:val="none" w:sz="0" w:space="0" w:color="auto"/>
            <w:bottom w:val="none" w:sz="0" w:space="0" w:color="auto"/>
            <w:right w:val="none" w:sz="0" w:space="0" w:color="auto"/>
          </w:divBdr>
        </w:div>
        <w:div w:id="285357523">
          <w:marLeft w:val="0"/>
          <w:marRight w:val="0"/>
          <w:marTop w:val="0"/>
          <w:marBottom w:val="0"/>
          <w:divBdr>
            <w:top w:val="none" w:sz="0" w:space="0" w:color="auto"/>
            <w:left w:val="none" w:sz="0" w:space="0" w:color="auto"/>
            <w:bottom w:val="none" w:sz="0" w:space="0" w:color="auto"/>
            <w:right w:val="none" w:sz="0" w:space="0" w:color="auto"/>
          </w:divBdr>
        </w:div>
        <w:div w:id="1823354932">
          <w:marLeft w:val="0"/>
          <w:marRight w:val="0"/>
          <w:marTop w:val="0"/>
          <w:marBottom w:val="0"/>
          <w:divBdr>
            <w:top w:val="none" w:sz="0" w:space="0" w:color="auto"/>
            <w:left w:val="none" w:sz="0" w:space="0" w:color="auto"/>
            <w:bottom w:val="none" w:sz="0" w:space="0" w:color="auto"/>
            <w:right w:val="none" w:sz="0" w:space="0" w:color="auto"/>
          </w:divBdr>
        </w:div>
        <w:div w:id="1386681490">
          <w:marLeft w:val="0"/>
          <w:marRight w:val="0"/>
          <w:marTop w:val="0"/>
          <w:marBottom w:val="0"/>
          <w:divBdr>
            <w:top w:val="none" w:sz="0" w:space="0" w:color="auto"/>
            <w:left w:val="none" w:sz="0" w:space="0" w:color="auto"/>
            <w:bottom w:val="none" w:sz="0" w:space="0" w:color="auto"/>
            <w:right w:val="none" w:sz="0" w:space="0" w:color="auto"/>
          </w:divBdr>
        </w:div>
        <w:div w:id="954868923">
          <w:marLeft w:val="0"/>
          <w:marRight w:val="0"/>
          <w:marTop w:val="0"/>
          <w:marBottom w:val="0"/>
          <w:divBdr>
            <w:top w:val="none" w:sz="0" w:space="0" w:color="auto"/>
            <w:left w:val="none" w:sz="0" w:space="0" w:color="auto"/>
            <w:bottom w:val="none" w:sz="0" w:space="0" w:color="auto"/>
            <w:right w:val="none" w:sz="0" w:space="0" w:color="auto"/>
          </w:divBdr>
        </w:div>
        <w:div w:id="436100154">
          <w:marLeft w:val="0"/>
          <w:marRight w:val="0"/>
          <w:marTop w:val="0"/>
          <w:marBottom w:val="0"/>
          <w:divBdr>
            <w:top w:val="none" w:sz="0" w:space="0" w:color="auto"/>
            <w:left w:val="none" w:sz="0" w:space="0" w:color="auto"/>
            <w:bottom w:val="none" w:sz="0" w:space="0" w:color="auto"/>
            <w:right w:val="none" w:sz="0" w:space="0" w:color="auto"/>
          </w:divBdr>
        </w:div>
        <w:div w:id="1092823179">
          <w:marLeft w:val="0"/>
          <w:marRight w:val="0"/>
          <w:marTop w:val="0"/>
          <w:marBottom w:val="0"/>
          <w:divBdr>
            <w:top w:val="none" w:sz="0" w:space="0" w:color="auto"/>
            <w:left w:val="none" w:sz="0" w:space="0" w:color="auto"/>
            <w:bottom w:val="none" w:sz="0" w:space="0" w:color="auto"/>
            <w:right w:val="none" w:sz="0" w:space="0" w:color="auto"/>
          </w:divBdr>
        </w:div>
      </w:divsChild>
    </w:div>
    <w:div w:id="1866095525">
      <w:bodyDiv w:val="1"/>
      <w:marLeft w:val="0"/>
      <w:marRight w:val="0"/>
      <w:marTop w:val="0"/>
      <w:marBottom w:val="0"/>
      <w:divBdr>
        <w:top w:val="none" w:sz="0" w:space="0" w:color="auto"/>
        <w:left w:val="none" w:sz="0" w:space="0" w:color="auto"/>
        <w:bottom w:val="none" w:sz="0" w:space="0" w:color="auto"/>
        <w:right w:val="none" w:sz="0" w:space="0" w:color="auto"/>
      </w:divBdr>
    </w:div>
    <w:div w:id="19900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eeags.mx/media/sesiones/2023-02-20/CG-A-06/23/2__CG-A-06-23_Financiamiento_2_PP_2023.pdf" TargetMode="External"/><Relationship Id="rId13" Type="http://schemas.openxmlformats.org/officeDocument/2006/relationships/hyperlink" Target="http://teeags.mx/category/estrados-electronicos/?d=L1JlY3Vyc28gZGUgQXBlbGFjacOzbiAoUkFQKS9SQVBfMjAyMy9SQVBfMDAyXzIwMjM%3D&amp;m1dll_index_get=0" TargetMode="External"/><Relationship Id="rId18" Type="http://schemas.openxmlformats.org/officeDocument/2006/relationships/hyperlink" Target="http://teeags.mx/category/estrados-electronicos/?d=L1JlY3Vyc28gZGUgQXBlbGFjacOzbiAoUkFQKS9SQVBfMjAyMy9SQVBfMDAyXzIwMjM%3D&amp;m1dll_index_get=0" TargetMode="External"/><Relationship Id="rId3" Type="http://schemas.openxmlformats.org/officeDocument/2006/relationships/hyperlink" Target="http://teeags.mx/category/estrados-electronicos/?d=L1JlY3Vyc28gZGUgQXBlbGFjacOzbiAoUkFQKS9SQVBfMjAyMy9SQVBfMDAxXzIwMjM%3D&amp;m1dll_index_get=0" TargetMode="External"/><Relationship Id="rId7" Type="http://schemas.openxmlformats.org/officeDocument/2006/relationships/hyperlink" Target="http://teeags.mx/category/estrados-electronicos/?d=L1JlY3Vyc28gZGUgQXBlbGFjacOzbiAoUkFQKS9SQVBfMjAyMy9SQVBfMDAyXzIwMjM%3D&amp;m1dll_index_get=0" TargetMode="External"/><Relationship Id="rId12" Type="http://schemas.openxmlformats.org/officeDocument/2006/relationships/hyperlink" Target="http://teeags.mx/estrados/autos-y-o-acuerdos/Recurso%20de%20Apelaci%C3%B3n%20(RAP)/RAP_2023/RAP_007_2023/2.%20ACUERDO%20DE%20TURNO_RAP.pdf" TargetMode="External"/><Relationship Id="rId17" Type="http://schemas.openxmlformats.org/officeDocument/2006/relationships/hyperlink" Target="http://teeags.mx/estrados/autos-y-o-acuerdos/Recurso%20de%20Apelaci%C3%B3n%20(RAP)/RAP_2023/RAP_002_2023/5.%20CAUSA%20ESTADO%20Y%20SE%20ORDENA%20ARCHIVO%20RAP-002-2023.pdf" TargetMode="External"/><Relationship Id="rId2" Type="http://schemas.openxmlformats.org/officeDocument/2006/relationships/hyperlink" Target="https://www.te.gob.mx/EE/SUP/2023/JRC/4/SUP_2023_JRC_4-1221347.pdf" TargetMode="External"/><Relationship Id="rId16" Type="http://schemas.openxmlformats.org/officeDocument/2006/relationships/hyperlink" Target="https://www.ieeags.mx/media/sesiones/2023-02-20/CG-A-06/23/2__CG-A-06-23_Financiamiento_2_PP_2023.pdf" TargetMode="External"/><Relationship Id="rId1" Type="http://schemas.openxmlformats.org/officeDocument/2006/relationships/hyperlink" Target="https://www.ieeags.mx/media/sesiones/2023-01-12/CG-A-01/23/2__CG-A-01-23_Financiamiento_PP_2023.pdf" TargetMode="External"/><Relationship Id="rId6" Type="http://schemas.openxmlformats.org/officeDocument/2006/relationships/hyperlink" Target="http://teeags.mx/category/estrados-electronicos/?d=L1JlY3Vyc28gZGUgQXBlbGFjacOzbiAoUkFQKS9SQVBfMjAyMy9SQVBfMDAxXzIwMjM%3D&amp;m1dll_index_get=0" TargetMode="External"/><Relationship Id="rId11" Type="http://schemas.openxmlformats.org/officeDocument/2006/relationships/hyperlink" Target="https://www.te.gob.mx/EE/SM/2023/JRC/3/SM_2023_JRC_3-1231768.pdf" TargetMode="External"/><Relationship Id="rId5" Type="http://schemas.openxmlformats.org/officeDocument/2006/relationships/hyperlink" Target="https://www.te.gob.mx/EE/SM/2023/JRC/2/SM_2023_JRC_2-1221295.pdf" TargetMode="External"/><Relationship Id="rId15" Type="http://schemas.openxmlformats.org/officeDocument/2006/relationships/hyperlink" Target="https://www.te.gob.mx/EE/SM/2023/JRC/2/SM_2023_JRC_2-1221295.pdf" TargetMode="External"/><Relationship Id="rId10" Type="http://schemas.openxmlformats.org/officeDocument/2006/relationships/hyperlink" Target="http://teeags.mx/category/estrados-electronicos/?d=L1JlY3Vyc28gZGUgQXBlbGFjacOzbiAoUkFQKS9SQVBfMjAyMy9SQVBfMDAyXzIwMjM%3D&amp;m1dll_index_get=0" TargetMode="External"/><Relationship Id="rId4" Type="http://schemas.openxmlformats.org/officeDocument/2006/relationships/hyperlink" Target="https://www.te.gob.mx/EE/SUP/2023/JRC/4/SUP_2023_JRC_4-1219138.pdf" TargetMode="External"/><Relationship Id="rId9" Type="http://schemas.openxmlformats.org/officeDocument/2006/relationships/hyperlink" Target="http://teeags.mx/estrados/autos-y-o-acuerdos/Recurso%20de%20Apelaci%C3%B3n%20(RAP)/RAP_2023/RAP_001_2023/6.%20Acuerdo%20de%20cumplimiento%20TEEA-RAP-001-2023%20(3).pdf" TargetMode="External"/><Relationship Id="rId14" Type="http://schemas.openxmlformats.org/officeDocument/2006/relationships/hyperlink" Target="https://www.te.gob.mx/EE/SUP/2023/JRC/4/SUP_2023_JRC_4-121913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7F836-DDCD-443D-BD65-5B7CA6689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2420</Words>
  <Characters>13314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Daniela Vega</dc:creator>
  <cp:keywords/>
  <dc:description/>
  <cp:lastModifiedBy>Lic. Nestor Rivera</cp:lastModifiedBy>
  <cp:revision>2</cp:revision>
  <cp:lastPrinted>2023-03-16T17:48:00Z</cp:lastPrinted>
  <dcterms:created xsi:type="dcterms:W3CDTF">2023-08-16T17:11:00Z</dcterms:created>
  <dcterms:modified xsi:type="dcterms:W3CDTF">2023-08-16T17:11:00Z</dcterms:modified>
</cp:coreProperties>
</file>